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C3A19">
      <w:pPr>
        <w:snapToGrid w:val="0"/>
        <w:jc w:val="center"/>
        <w:rPr>
          <w:rFonts w:ascii="黑体" w:hAnsi="宋体" w:eastAsia="黑体"/>
          <w:b/>
          <w:sz w:val="52"/>
          <w:szCs w:val="52"/>
        </w:rPr>
      </w:pPr>
    </w:p>
    <w:p w14:paraId="7EE47E85">
      <w:pPr>
        <w:snapToGrid w:val="0"/>
        <w:jc w:val="center"/>
        <w:rPr>
          <w:rFonts w:ascii="黑体" w:hAnsi="宋体" w:eastAsia="黑体"/>
          <w:b/>
          <w:sz w:val="52"/>
          <w:szCs w:val="52"/>
        </w:rPr>
      </w:pPr>
    </w:p>
    <w:p w14:paraId="58D4E9DC">
      <w:pPr>
        <w:tabs>
          <w:tab w:val="left" w:pos="7560"/>
        </w:tabs>
        <w:snapToGrid w:val="0"/>
        <w:jc w:val="center"/>
        <w:rPr>
          <w:rFonts w:ascii="黑体" w:hAnsi="宋体" w:eastAsia="黑体"/>
          <w:b/>
          <w:sz w:val="52"/>
          <w:szCs w:val="52"/>
        </w:rPr>
      </w:pPr>
      <w:r>
        <w:rPr>
          <w:rFonts w:hint="eastAsia" w:ascii="黑体" w:hAnsi="宋体" w:eastAsia="黑体"/>
          <w:b/>
          <w:sz w:val="52"/>
          <w:szCs w:val="52"/>
        </w:rPr>
        <w:t>湖南吉利汽车职业技术学院</w:t>
      </w:r>
    </w:p>
    <w:p w14:paraId="7114646B">
      <w:pPr>
        <w:snapToGrid w:val="0"/>
        <w:jc w:val="center"/>
        <w:rPr>
          <w:rFonts w:hint="eastAsia" w:ascii="黑体" w:hAnsi="宋体" w:eastAsia="黑体"/>
          <w:b/>
          <w:sz w:val="52"/>
          <w:szCs w:val="52"/>
        </w:rPr>
      </w:pPr>
      <w:r>
        <w:rPr>
          <w:rFonts w:hint="eastAsia" w:ascii="黑体" w:hAnsi="宋体" w:eastAsia="黑体"/>
          <w:b/>
          <w:sz w:val="52"/>
          <w:szCs w:val="52"/>
        </w:rPr>
        <w:t>金融</w:t>
      </w:r>
      <w:r>
        <w:rPr>
          <w:rFonts w:hint="eastAsia" w:ascii="黑体" w:hAnsi="宋体" w:eastAsia="黑体"/>
          <w:b/>
          <w:sz w:val="52"/>
          <w:szCs w:val="52"/>
          <w:lang w:eastAsia="zh-CN"/>
        </w:rPr>
        <w:t>服务与</w:t>
      </w:r>
      <w:r>
        <w:rPr>
          <w:rFonts w:hint="eastAsia" w:ascii="黑体" w:hAnsi="宋体" w:eastAsia="黑体"/>
          <w:b/>
          <w:sz w:val="52"/>
          <w:szCs w:val="52"/>
        </w:rPr>
        <w:t>管理</w:t>
      </w:r>
    </w:p>
    <w:p w14:paraId="4228E74C">
      <w:pPr>
        <w:snapToGrid w:val="0"/>
        <w:jc w:val="center"/>
        <w:rPr>
          <w:rFonts w:ascii="黑体" w:hAnsi="宋体" w:eastAsia="黑体"/>
          <w:b/>
          <w:sz w:val="52"/>
          <w:szCs w:val="52"/>
        </w:rPr>
      </w:pPr>
      <w:r>
        <w:rPr>
          <w:rFonts w:hint="eastAsia" w:ascii="黑体" w:hAnsi="宋体" w:eastAsia="黑体"/>
          <w:b/>
          <w:sz w:val="52"/>
          <w:szCs w:val="52"/>
        </w:rPr>
        <w:t>专业人才培养方案</w:t>
      </w:r>
    </w:p>
    <w:p w14:paraId="5F93226D">
      <w:pPr>
        <w:snapToGrid w:val="0"/>
        <w:jc w:val="center"/>
        <w:rPr>
          <w:rFonts w:ascii="黑体" w:hAnsi="宋体" w:eastAsia="黑体"/>
          <w:sz w:val="32"/>
          <w:szCs w:val="32"/>
        </w:rPr>
      </w:pPr>
    </w:p>
    <w:p w14:paraId="6A9A3360">
      <w:pPr>
        <w:snapToGrid w:val="0"/>
        <w:jc w:val="center"/>
        <w:rPr>
          <w:rFonts w:ascii="黑体" w:hAnsi="宋体" w:eastAsia="黑体"/>
          <w:sz w:val="32"/>
          <w:szCs w:val="32"/>
        </w:rPr>
      </w:pPr>
    </w:p>
    <w:p w14:paraId="3F261C88">
      <w:pPr>
        <w:snapToGrid w:val="0"/>
        <w:jc w:val="center"/>
        <w:rPr>
          <w:rFonts w:ascii="黑体" w:hAnsi="宋体" w:eastAsia="黑体"/>
          <w:sz w:val="32"/>
          <w:szCs w:val="32"/>
        </w:rPr>
      </w:pPr>
    </w:p>
    <w:p w14:paraId="1B063E72">
      <w:pPr>
        <w:snapToGrid w:val="0"/>
        <w:jc w:val="center"/>
        <w:rPr>
          <w:rFonts w:ascii="黑体" w:hAnsi="宋体" w:eastAsia="黑体"/>
          <w:sz w:val="32"/>
          <w:szCs w:val="32"/>
        </w:rPr>
      </w:pPr>
    </w:p>
    <w:p w14:paraId="6A775088">
      <w:pPr>
        <w:snapToGrid w:val="0"/>
        <w:jc w:val="center"/>
        <w:rPr>
          <w:rFonts w:ascii="黑体" w:hAnsi="宋体" w:eastAsia="黑体"/>
          <w:sz w:val="32"/>
          <w:szCs w:val="32"/>
        </w:rPr>
      </w:pPr>
    </w:p>
    <w:p w14:paraId="2C066B1A">
      <w:pPr>
        <w:snapToGrid w:val="0"/>
        <w:jc w:val="center"/>
        <w:rPr>
          <w:rFonts w:ascii="黑体" w:hAnsi="宋体" w:eastAsia="黑体"/>
          <w:sz w:val="32"/>
          <w:szCs w:val="32"/>
        </w:rPr>
      </w:pPr>
    </w:p>
    <w:p w14:paraId="24C54E8E">
      <w:pPr>
        <w:snapToGrid w:val="0"/>
        <w:jc w:val="center"/>
        <w:rPr>
          <w:rFonts w:ascii="黑体" w:hAnsi="宋体" w:eastAsia="黑体"/>
          <w:sz w:val="32"/>
          <w:szCs w:val="32"/>
        </w:rPr>
      </w:pPr>
    </w:p>
    <w:p w14:paraId="193A572B">
      <w:pPr>
        <w:snapToGrid w:val="0"/>
        <w:jc w:val="center"/>
        <w:rPr>
          <w:rFonts w:ascii="黑体" w:hAnsi="宋体" w:eastAsia="黑体"/>
          <w:sz w:val="32"/>
          <w:szCs w:val="32"/>
        </w:rPr>
      </w:pPr>
    </w:p>
    <w:p w14:paraId="0C4C6501">
      <w:pPr>
        <w:snapToGrid w:val="0"/>
        <w:spacing w:line="360" w:lineRule="auto"/>
        <w:ind w:firstLine="1920" w:firstLineChars="600"/>
        <w:jc w:val="left"/>
        <w:rPr>
          <w:rFonts w:ascii="黑体" w:hAnsi="宋体" w:eastAsia="黑体"/>
          <w:sz w:val="32"/>
          <w:szCs w:val="32"/>
          <w:u w:val="single"/>
        </w:rPr>
      </w:pPr>
      <w:r>
        <w:rPr>
          <w:rFonts w:hint="eastAsia" w:ascii="黑体" w:hAnsi="宋体" w:eastAsia="黑体"/>
          <w:sz w:val="32"/>
          <w:szCs w:val="32"/>
        </w:rPr>
        <w:t>专 业 名 称 ：</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 xml:space="preserve">   </w:t>
      </w:r>
      <w:r>
        <w:rPr>
          <w:rFonts w:hint="eastAsia" w:ascii="黑体" w:hAnsi="宋体" w:eastAsia="黑体"/>
          <w:sz w:val="32"/>
          <w:szCs w:val="32"/>
          <w:u w:val="single"/>
          <w:lang w:eastAsia="zh-CN"/>
        </w:rPr>
        <w:t>金融服务与管理</w:t>
      </w:r>
      <w:r>
        <w:rPr>
          <w:rFonts w:hint="eastAsia" w:ascii="黑体" w:hAnsi="宋体" w:eastAsia="黑体"/>
          <w:sz w:val="32"/>
          <w:szCs w:val="32"/>
          <w:u w:val="single"/>
          <w:lang w:val="en-US" w:eastAsia="zh-CN"/>
        </w:rPr>
        <w:t xml:space="preserve">     </w:t>
      </w:r>
      <w:r>
        <w:rPr>
          <w:rFonts w:hint="eastAsia" w:ascii="黑体" w:hAnsi="宋体" w:eastAsia="黑体"/>
          <w:sz w:val="32"/>
          <w:szCs w:val="32"/>
          <w:u w:val="single"/>
        </w:rPr>
        <w:t xml:space="preserve">   </w:t>
      </w:r>
    </w:p>
    <w:p w14:paraId="37ECBD85">
      <w:pPr>
        <w:snapToGrid w:val="0"/>
        <w:spacing w:line="360" w:lineRule="auto"/>
        <w:ind w:firstLine="1920" w:firstLineChars="600"/>
        <w:jc w:val="left"/>
        <w:rPr>
          <w:rFonts w:ascii="黑体" w:hAnsi="宋体" w:eastAsia="黑体"/>
          <w:sz w:val="32"/>
          <w:szCs w:val="32"/>
          <w:u w:val="single"/>
        </w:rPr>
      </w:pPr>
      <w:r>
        <w:rPr>
          <w:rFonts w:hint="eastAsia" w:ascii="黑体" w:hAnsi="宋体" w:eastAsia="黑体"/>
          <w:sz w:val="32"/>
          <w:szCs w:val="32"/>
        </w:rPr>
        <w:t>专 业 代 码 ：</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5</w:t>
      </w:r>
      <w:r>
        <w:rPr>
          <w:rFonts w:hint="eastAsia" w:ascii="黑体" w:hAnsi="宋体" w:eastAsia="黑体"/>
          <w:sz w:val="32"/>
          <w:szCs w:val="32"/>
          <w:u w:val="single"/>
        </w:rPr>
        <w:t xml:space="preserve">30201               </w:t>
      </w:r>
    </w:p>
    <w:p w14:paraId="5A762A49">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适 用 年 级 ：</w:t>
      </w:r>
      <w:r>
        <w:rPr>
          <w:rFonts w:ascii="黑体" w:hAnsi="宋体" w:eastAsia="黑体"/>
          <w:sz w:val="32"/>
          <w:szCs w:val="32"/>
          <w:u w:val="single"/>
        </w:rPr>
        <w:t xml:space="preserve">     </w:t>
      </w:r>
      <w:r>
        <w:rPr>
          <w:rFonts w:hint="eastAsia" w:ascii="黑体" w:hAnsi="宋体" w:eastAsia="黑体"/>
          <w:sz w:val="32"/>
          <w:szCs w:val="32"/>
          <w:u w:val="single"/>
        </w:rPr>
        <w:t xml:space="preserve">     </w:t>
      </w:r>
      <w:r>
        <w:rPr>
          <w:rFonts w:ascii="黑体" w:hAnsi="宋体" w:eastAsia="黑体"/>
          <w:sz w:val="32"/>
          <w:szCs w:val="32"/>
          <w:u w:val="single"/>
        </w:rPr>
        <w:t>2</w:t>
      </w:r>
      <w:r>
        <w:rPr>
          <w:rFonts w:hint="eastAsia" w:ascii="黑体" w:hAnsi="宋体" w:eastAsia="黑体"/>
          <w:sz w:val="32"/>
          <w:szCs w:val="32"/>
          <w:u w:val="single"/>
        </w:rPr>
        <w:t>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级               </w:t>
      </w:r>
    </w:p>
    <w:p w14:paraId="7FAB5934">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所 属 系 部 ：</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 xml:space="preserve">  </w:t>
      </w:r>
      <w:r>
        <w:rPr>
          <w:rFonts w:hint="eastAsia" w:ascii="黑体" w:hAnsi="宋体" w:eastAsia="黑体"/>
          <w:sz w:val="32"/>
          <w:szCs w:val="32"/>
          <w:u w:val="single"/>
          <w:lang w:eastAsia="zh-CN"/>
        </w:rPr>
        <w:t>管理系</w:t>
      </w:r>
      <w:r>
        <w:rPr>
          <w:rFonts w:hint="eastAsia" w:ascii="黑体" w:hAnsi="宋体" w:eastAsia="黑体"/>
          <w:sz w:val="32"/>
          <w:szCs w:val="32"/>
          <w:u w:val="single"/>
          <w:lang w:val="en-US" w:eastAsia="zh-CN"/>
        </w:rPr>
        <w:t xml:space="preserve">     </w:t>
      </w:r>
      <w:r>
        <w:rPr>
          <w:rFonts w:hint="eastAsia" w:ascii="黑体" w:hAnsi="宋体" w:eastAsia="黑体"/>
          <w:sz w:val="32"/>
          <w:szCs w:val="32"/>
          <w:u w:val="single"/>
        </w:rPr>
        <w:t xml:space="preserve">       </w:t>
      </w:r>
    </w:p>
    <w:p w14:paraId="52771AF8">
      <w:pPr>
        <w:snapToGrid w:val="0"/>
        <w:spacing w:line="360" w:lineRule="auto"/>
        <w:ind w:firstLine="1900" w:firstLineChars="500"/>
        <w:rPr>
          <w:rFonts w:ascii="黑体" w:hAnsi="宋体" w:eastAsia="黑体"/>
          <w:spacing w:val="30"/>
          <w:sz w:val="32"/>
          <w:szCs w:val="32"/>
          <w:u w:val="single"/>
        </w:rPr>
      </w:pPr>
      <w:r>
        <w:rPr>
          <w:rFonts w:hint="eastAsia" w:ascii="黑体" w:hAnsi="宋体" w:eastAsia="黑体"/>
          <w:spacing w:val="30"/>
          <w:sz w:val="32"/>
          <w:szCs w:val="32"/>
        </w:rPr>
        <w:t>专业负责人：</w:t>
      </w:r>
      <w:r>
        <w:rPr>
          <w:rFonts w:hint="eastAsia" w:ascii="黑体" w:hAnsi="宋体" w:eastAsia="黑体"/>
          <w:spacing w:val="30"/>
          <w:sz w:val="32"/>
          <w:szCs w:val="32"/>
          <w:u w:val="single"/>
        </w:rPr>
        <w:t xml:space="preserve">       </w:t>
      </w:r>
      <w:r>
        <w:rPr>
          <w:rFonts w:hint="eastAsia" w:ascii="黑体" w:hAnsi="宋体" w:eastAsia="黑体"/>
          <w:spacing w:val="30"/>
          <w:sz w:val="32"/>
          <w:szCs w:val="32"/>
          <w:u w:val="single"/>
          <w:lang w:val="en-US" w:eastAsia="zh-CN"/>
        </w:rPr>
        <w:t>李 强</w:t>
      </w:r>
      <w:r>
        <w:rPr>
          <w:rFonts w:hint="eastAsia" w:ascii="黑体" w:hAnsi="宋体" w:eastAsia="黑体"/>
          <w:spacing w:val="30"/>
          <w:sz w:val="32"/>
          <w:szCs w:val="32"/>
          <w:u w:val="single"/>
        </w:rPr>
        <w:t xml:space="preserve">       </w:t>
      </w:r>
    </w:p>
    <w:p w14:paraId="497A10C9">
      <w:pPr>
        <w:snapToGrid w:val="0"/>
        <w:spacing w:line="360" w:lineRule="auto"/>
        <w:ind w:firstLine="1920" w:firstLineChars="600"/>
        <w:jc w:val="left"/>
        <w:rPr>
          <w:rFonts w:ascii="黑体" w:hAnsi="宋体" w:eastAsia="黑体"/>
          <w:sz w:val="32"/>
          <w:szCs w:val="32"/>
          <w:u w:val="single"/>
        </w:rPr>
      </w:pPr>
      <w:r>
        <w:rPr>
          <w:rFonts w:hint="eastAsia" w:ascii="黑体" w:hAnsi="宋体" w:eastAsia="黑体"/>
          <w:sz w:val="32"/>
          <w:szCs w:val="32"/>
        </w:rPr>
        <w:t>修 订 时 间 ：</w:t>
      </w:r>
      <w:r>
        <w:rPr>
          <w:rFonts w:ascii="黑体" w:hAnsi="宋体" w:eastAsia="黑体"/>
          <w:sz w:val="32"/>
          <w:szCs w:val="32"/>
          <w:u w:val="single"/>
        </w:rPr>
        <w:t xml:space="preserve">   </w:t>
      </w:r>
      <w:r>
        <w:rPr>
          <w:rFonts w:hint="eastAsia" w:ascii="黑体" w:hAnsi="宋体" w:eastAsia="黑体"/>
          <w:sz w:val="32"/>
          <w:szCs w:val="32"/>
          <w:u w:val="single"/>
        </w:rPr>
        <w:t xml:space="preserve">     </w:t>
      </w:r>
      <w:r>
        <w:rPr>
          <w:rFonts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年5月       </w:t>
      </w:r>
    </w:p>
    <w:p w14:paraId="035DDC35">
      <w:pPr>
        <w:snapToGrid w:val="0"/>
        <w:spacing w:line="360" w:lineRule="auto"/>
        <w:ind w:firstLine="1920" w:firstLineChars="500"/>
        <w:rPr>
          <w:rFonts w:ascii="黑体" w:hAnsi="宋体" w:eastAsia="黑体"/>
          <w:spacing w:val="32"/>
          <w:sz w:val="32"/>
          <w:szCs w:val="32"/>
          <w:u w:val="single"/>
        </w:rPr>
      </w:pPr>
      <w:r>
        <w:rPr>
          <w:rFonts w:hint="eastAsia" w:ascii="黑体" w:hAnsi="宋体" w:eastAsia="黑体"/>
          <w:spacing w:val="32"/>
          <w:sz w:val="32"/>
          <w:szCs w:val="32"/>
        </w:rPr>
        <w:t>系部审批人：</w:t>
      </w:r>
      <w:r>
        <w:rPr>
          <w:rFonts w:hint="eastAsia" w:ascii="黑体" w:hAnsi="宋体" w:eastAsia="黑体"/>
          <w:spacing w:val="32"/>
          <w:sz w:val="32"/>
          <w:szCs w:val="32"/>
          <w:u w:val="single"/>
        </w:rPr>
        <w:t xml:space="preserve">       </w:t>
      </w:r>
      <w:r>
        <w:rPr>
          <w:rFonts w:hint="eastAsia" w:ascii="黑体" w:hAnsi="宋体" w:eastAsia="黑体"/>
          <w:spacing w:val="32"/>
          <w:sz w:val="32"/>
          <w:szCs w:val="32"/>
          <w:u w:val="single"/>
          <w:lang w:val="en-US" w:eastAsia="zh-CN"/>
        </w:rPr>
        <w:t>肖 飞</w:t>
      </w:r>
      <w:r>
        <w:rPr>
          <w:rFonts w:hint="eastAsia" w:ascii="黑体" w:hAnsi="宋体" w:eastAsia="黑体"/>
          <w:sz w:val="32"/>
          <w:szCs w:val="32"/>
          <w:u w:val="single"/>
        </w:rPr>
        <w:t xml:space="preserve">         </w:t>
      </w:r>
    </w:p>
    <w:p w14:paraId="3325FE0F">
      <w:pPr>
        <w:snapToGrid w:val="0"/>
        <w:spacing w:line="360" w:lineRule="auto"/>
        <w:ind w:firstLine="1920" w:firstLineChars="600"/>
        <w:rPr>
          <w:rFonts w:ascii="黑体" w:hAnsi="宋体" w:eastAsia="黑体"/>
          <w:sz w:val="32"/>
          <w:szCs w:val="32"/>
        </w:rPr>
      </w:pPr>
      <w:r>
        <w:rPr>
          <w:rFonts w:hint="eastAsia" w:ascii="黑体" w:hAnsi="宋体" w:eastAsia="黑体"/>
          <w:sz w:val="32"/>
          <w:szCs w:val="32"/>
        </w:rPr>
        <w:t>系部审批时间：</w:t>
      </w:r>
      <w:r>
        <w:rPr>
          <w:rFonts w:hint="eastAsia" w:ascii="黑体" w:hAnsi="宋体" w:eastAsia="黑体"/>
          <w:sz w:val="32"/>
          <w:szCs w:val="32"/>
          <w:u w:val="single"/>
        </w:rPr>
        <w:t xml:space="preserve">        </w:t>
      </w:r>
      <w:r>
        <w:rPr>
          <w:rFonts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年6月       </w:t>
      </w:r>
    </w:p>
    <w:p w14:paraId="54DDE809">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学校审批人：</w:t>
      </w:r>
      <w:r>
        <w:rPr>
          <w:rFonts w:hint="eastAsia" w:ascii="黑体" w:hAnsi="宋体" w:eastAsia="黑体"/>
          <w:spacing w:val="32"/>
          <w:sz w:val="32"/>
          <w:szCs w:val="32"/>
          <w:u w:val="single"/>
        </w:rPr>
        <w:t xml:space="preserve">       </w:t>
      </w:r>
      <w:r>
        <w:rPr>
          <w:rFonts w:hint="eastAsia" w:ascii="黑体" w:hAnsi="宋体" w:eastAsia="黑体"/>
          <w:spacing w:val="32"/>
          <w:sz w:val="32"/>
          <w:szCs w:val="32"/>
          <w:u w:val="single"/>
          <w:lang w:val="en-US" w:eastAsia="zh-CN"/>
        </w:rPr>
        <w:t>马卫平</w:t>
      </w:r>
      <w:r>
        <w:rPr>
          <w:rFonts w:hint="eastAsia" w:ascii="黑体" w:hAnsi="宋体" w:eastAsia="黑体"/>
          <w:spacing w:val="32"/>
          <w:sz w:val="32"/>
          <w:szCs w:val="32"/>
          <w:u w:val="single"/>
        </w:rPr>
        <w:t xml:space="preserve">       </w:t>
      </w:r>
    </w:p>
    <w:p w14:paraId="43CD96F7">
      <w:pPr>
        <w:snapToGrid w:val="0"/>
        <w:spacing w:line="360" w:lineRule="auto"/>
        <w:ind w:firstLine="1920" w:firstLineChars="600"/>
        <w:rPr>
          <w:rFonts w:ascii="黑体" w:hAnsi="宋体" w:eastAsia="黑体"/>
          <w:sz w:val="32"/>
          <w:szCs w:val="32"/>
        </w:rPr>
        <w:sectPr>
          <w:headerReference r:id="rId3" w:type="default"/>
          <w:pgSz w:w="11906" w:h="16838"/>
          <w:pgMar w:top="1440" w:right="1797" w:bottom="1440" w:left="1797" w:header="851" w:footer="992" w:gutter="0"/>
          <w:cols w:space="425" w:num="1"/>
          <w:docGrid w:type="linesAndChars" w:linePitch="312" w:charSpace="0"/>
        </w:sectPr>
      </w:pPr>
      <w:r>
        <w:rPr>
          <w:rFonts w:hint="eastAsia" w:ascii="黑体" w:hAnsi="宋体" w:eastAsia="黑体"/>
          <w:sz w:val="32"/>
          <w:szCs w:val="32"/>
        </w:rPr>
        <w:t>学校审批时间：</w:t>
      </w:r>
      <w:r>
        <w:rPr>
          <w:rFonts w:hint="eastAsia" w:ascii="黑体" w:hAnsi="宋体" w:eastAsia="黑体"/>
          <w:sz w:val="32"/>
          <w:szCs w:val="32"/>
          <w:u w:val="single"/>
        </w:rPr>
        <w:t xml:space="preserve">        </w:t>
      </w:r>
      <w:r>
        <w:rPr>
          <w:rFonts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年7月       </w:t>
      </w:r>
    </w:p>
    <w:p w14:paraId="128E946F">
      <w:pPr>
        <w:snapToGrid w:val="0"/>
        <w:jc w:val="center"/>
        <w:rPr>
          <w:rFonts w:ascii="黑体" w:hAnsi="宋体" w:eastAsia="黑体"/>
          <w:sz w:val="32"/>
          <w:szCs w:val="32"/>
        </w:rPr>
      </w:pPr>
    </w:p>
    <w:p w14:paraId="1B0F51D8">
      <w:pPr>
        <w:snapToGrid w:val="0"/>
        <w:jc w:val="center"/>
        <w:rPr>
          <w:rFonts w:ascii="黑体" w:hAnsi="宋体" w:eastAsia="黑体"/>
          <w:sz w:val="32"/>
          <w:szCs w:val="32"/>
        </w:rPr>
      </w:pPr>
      <w:r>
        <w:rPr>
          <w:rFonts w:hint="eastAsia" w:ascii="黑体" w:hAnsi="宋体" w:eastAsia="黑体"/>
          <w:sz w:val="32"/>
          <w:szCs w:val="32"/>
        </w:rPr>
        <w:t>金融</w:t>
      </w:r>
      <w:r>
        <w:rPr>
          <w:rFonts w:hint="eastAsia" w:ascii="黑体" w:hAnsi="宋体" w:eastAsia="黑体"/>
          <w:sz w:val="32"/>
          <w:szCs w:val="32"/>
          <w:lang w:eastAsia="zh-CN"/>
        </w:rPr>
        <w:t>服务与</w:t>
      </w:r>
      <w:r>
        <w:rPr>
          <w:rFonts w:hint="eastAsia" w:ascii="黑体" w:hAnsi="宋体" w:eastAsia="黑体"/>
          <w:sz w:val="32"/>
          <w:szCs w:val="32"/>
        </w:rPr>
        <w:t>管理</w:t>
      </w:r>
    </w:p>
    <w:p w14:paraId="4C2B15B9">
      <w:pPr>
        <w:snapToGrid w:val="0"/>
        <w:jc w:val="center"/>
        <w:rPr>
          <w:rFonts w:ascii="黑体" w:hAnsi="宋体" w:eastAsia="黑体"/>
          <w:bCs/>
          <w:sz w:val="32"/>
          <w:szCs w:val="32"/>
        </w:rPr>
      </w:pPr>
      <w:r>
        <w:rPr>
          <w:rFonts w:hint="eastAsia" w:ascii="黑体" w:hAnsi="宋体" w:eastAsia="黑体"/>
          <w:bCs/>
          <w:sz w:val="32"/>
          <w:szCs w:val="32"/>
        </w:rPr>
        <w:t>专业人才培养方案</w:t>
      </w:r>
    </w:p>
    <w:p w14:paraId="0666E16C">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一、专业名称及代码</w:t>
      </w:r>
    </w:p>
    <w:p w14:paraId="765E7472">
      <w:pPr>
        <w:spacing w:before="156" w:beforeLines="50" w:after="156" w:afterLines="50" w:line="440" w:lineRule="exact"/>
        <w:ind w:firstLine="420" w:firstLineChars="200"/>
        <w:rPr>
          <w:rFonts w:hint="eastAsia" w:ascii="宋体" w:hAnsi="宋体" w:eastAsia="宋体"/>
          <w:color w:val="000000" w:themeColor="text1"/>
          <w:szCs w:val="21"/>
          <w:lang w:eastAsia="zh-CN"/>
        </w:rPr>
      </w:pPr>
      <w:r>
        <w:rPr>
          <w:rFonts w:hint="eastAsia" w:ascii="黑体" w:hAnsi="宋体" w:eastAsia="黑体"/>
          <w:color w:val="000000" w:themeColor="text1"/>
          <w:szCs w:val="21"/>
        </w:rPr>
        <w:t>专业名称</w:t>
      </w:r>
      <w:r>
        <w:rPr>
          <w:rFonts w:hint="eastAsia" w:ascii="宋体" w:hAnsi="宋体"/>
          <w:color w:val="000000" w:themeColor="text1"/>
          <w:szCs w:val="21"/>
        </w:rPr>
        <w:t>：</w:t>
      </w:r>
      <w:r>
        <w:rPr>
          <w:rFonts w:hint="eastAsia" w:ascii="宋体" w:hAnsi="宋体"/>
          <w:color w:val="000000" w:themeColor="text1"/>
          <w:szCs w:val="21"/>
          <w:lang w:eastAsia="zh-CN"/>
        </w:rPr>
        <w:t>金融服务与管理</w:t>
      </w:r>
    </w:p>
    <w:p w14:paraId="1AA583F2">
      <w:pPr>
        <w:spacing w:before="156" w:beforeLines="50" w:after="156" w:afterLines="50" w:line="440" w:lineRule="exact"/>
        <w:ind w:firstLine="420" w:firstLineChars="200"/>
        <w:rPr>
          <w:rFonts w:hint="eastAsia" w:eastAsia="黑体"/>
          <w:lang w:eastAsia="zh-CN"/>
        </w:rPr>
      </w:pPr>
      <w:r>
        <w:rPr>
          <w:rFonts w:hint="eastAsia" w:ascii="黑体" w:hAnsi="宋体" w:eastAsia="黑体"/>
          <w:color w:val="000000" w:themeColor="text1"/>
          <w:szCs w:val="21"/>
        </w:rPr>
        <w:t>专业代码：</w:t>
      </w:r>
      <w:r>
        <w:rPr>
          <w:rFonts w:hint="eastAsia" w:eastAsia="黑体"/>
          <w:lang w:eastAsia="zh-CN"/>
        </w:rPr>
        <w:t>530201</w:t>
      </w:r>
    </w:p>
    <w:p w14:paraId="3A4674D7">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二、入学要求</w:t>
      </w:r>
    </w:p>
    <w:p w14:paraId="62B7D2FE">
      <w:pPr>
        <w:spacing w:before="156" w:beforeLines="50" w:after="156" w:afterLines="50" w:line="440" w:lineRule="exact"/>
        <w:ind w:firstLine="420" w:firstLineChars="200"/>
        <w:rPr>
          <w:rFonts w:ascii="宋体" w:hAnsi="宋体"/>
          <w:color w:val="000000" w:themeColor="text1"/>
          <w:szCs w:val="21"/>
        </w:rPr>
      </w:pPr>
      <w:r>
        <w:rPr>
          <w:rFonts w:hint="eastAsia" w:ascii="宋体" w:hAnsi="宋体"/>
          <w:color w:val="000000" w:themeColor="text1"/>
          <w:szCs w:val="21"/>
        </w:rPr>
        <w:t>高中阶段教育毕业生或具有同等</w:t>
      </w:r>
      <w:r>
        <w:rPr>
          <w:rFonts w:hint="eastAsia" w:ascii="宋体" w:hAnsi="宋体"/>
          <w:color w:val="000000" w:themeColor="text1"/>
          <w:szCs w:val="21"/>
          <w:lang w:val="en-US" w:eastAsia="zh-CN"/>
        </w:rPr>
        <w:t>学历</w:t>
      </w:r>
      <w:r>
        <w:rPr>
          <w:rFonts w:hint="eastAsia" w:ascii="宋体" w:hAnsi="宋体"/>
          <w:color w:val="000000" w:themeColor="text1"/>
          <w:szCs w:val="21"/>
        </w:rPr>
        <w:t>者。</w:t>
      </w:r>
    </w:p>
    <w:p w14:paraId="759897C9">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三、修业年限</w:t>
      </w:r>
    </w:p>
    <w:p w14:paraId="245AC987">
      <w:pPr>
        <w:spacing w:before="156" w:beforeLines="50" w:after="156" w:afterLines="50" w:line="440" w:lineRule="exact"/>
        <w:ind w:firstLine="420" w:firstLineChars="200"/>
        <w:rPr>
          <w:rFonts w:ascii="宋体" w:hAnsi="宋体"/>
          <w:szCs w:val="21"/>
        </w:rPr>
      </w:pPr>
      <w:r>
        <w:rPr>
          <w:rFonts w:hint="eastAsia" w:ascii="宋体" w:hAnsi="宋体"/>
          <w:szCs w:val="21"/>
          <w:lang w:val="en-US" w:eastAsia="zh-CN"/>
        </w:rPr>
        <w:t>三年</w:t>
      </w:r>
      <w:r>
        <w:rPr>
          <w:rFonts w:hint="eastAsia" w:ascii="宋体" w:hAnsi="宋体"/>
          <w:szCs w:val="21"/>
        </w:rPr>
        <w:t>。</w:t>
      </w:r>
    </w:p>
    <w:p w14:paraId="15E2A9A3">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四、职业面向</w:t>
      </w:r>
    </w:p>
    <w:p w14:paraId="2BFEB1CA">
      <w:pPr>
        <w:tabs>
          <w:tab w:val="left" w:pos="312"/>
        </w:tabs>
        <w:spacing w:line="440" w:lineRule="exact"/>
        <w:ind w:left="420"/>
        <w:rPr>
          <w:rFonts w:ascii="黑体" w:hAnsi="黑体" w:eastAsia="黑体"/>
          <w:color w:val="000000" w:themeColor="text1"/>
          <w:szCs w:val="21"/>
        </w:rPr>
      </w:pPr>
      <w:r>
        <w:rPr>
          <w:rFonts w:hint="eastAsia" w:ascii="黑体" w:hAnsi="黑体" w:eastAsia="黑体"/>
          <w:color w:val="000000" w:themeColor="text1"/>
          <w:szCs w:val="21"/>
        </w:rPr>
        <w:t>（一）职业面向</w:t>
      </w:r>
    </w:p>
    <w:tbl>
      <w:tblPr>
        <w:tblStyle w:val="14"/>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919"/>
        <w:gridCol w:w="1559"/>
        <w:gridCol w:w="1701"/>
        <w:gridCol w:w="1418"/>
        <w:gridCol w:w="1742"/>
      </w:tblGrid>
      <w:tr w14:paraId="0724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9" w:type="dxa"/>
          </w:tcPr>
          <w:p w14:paraId="4D62507B">
            <w:pPr>
              <w:spacing w:before="156" w:beforeLines="50" w:after="156" w:afterLines="50"/>
              <w:jc w:val="distribute"/>
              <w:rPr>
                <w:rFonts w:ascii="黑体" w:hAnsi="宋体" w:eastAsia="黑体"/>
                <w:bCs/>
                <w:szCs w:val="21"/>
              </w:rPr>
            </w:pPr>
            <w:r>
              <w:rPr>
                <w:rFonts w:hint="eastAsia" w:ascii="黑体" w:hAnsi="宋体" w:eastAsia="黑体"/>
                <w:bCs/>
                <w:szCs w:val="21"/>
              </w:rPr>
              <w:t>所属专业大类及代码</w:t>
            </w:r>
          </w:p>
        </w:tc>
        <w:tc>
          <w:tcPr>
            <w:tcW w:w="919" w:type="dxa"/>
          </w:tcPr>
          <w:p w14:paraId="53A6D658">
            <w:pPr>
              <w:spacing w:before="156" w:beforeLines="50" w:after="156" w:afterLines="50"/>
              <w:jc w:val="distribute"/>
              <w:rPr>
                <w:rFonts w:ascii="黑体" w:hAnsi="宋体" w:eastAsia="黑体"/>
                <w:bCs/>
                <w:szCs w:val="21"/>
              </w:rPr>
            </w:pPr>
            <w:r>
              <w:rPr>
                <w:rFonts w:hint="eastAsia" w:ascii="黑体" w:hAnsi="宋体" w:eastAsia="黑体"/>
                <w:bCs/>
                <w:szCs w:val="21"/>
              </w:rPr>
              <w:t>所属专业类及代码</w:t>
            </w:r>
          </w:p>
        </w:tc>
        <w:tc>
          <w:tcPr>
            <w:tcW w:w="1559" w:type="dxa"/>
          </w:tcPr>
          <w:p w14:paraId="6D89F26B">
            <w:pPr>
              <w:spacing w:before="156" w:beforeLines="50" w:after="156" w:afterLines="50"/>
              <w:jc w:val="distribute"/>
              <w:rPr>
                <w:rFonts w:ascii="黑体" w:hAnsi="宋体" w:eastAsia="黑体"/>
                <w:bCs/>
                <w:szCs w:val="21"/>
              </w:rPr>
            </w:pPr>
            <w:r>
              <w:rPr>
                <w:rFonts w:hint="eastAsia" w:ascii="黑体" w:hAnsi="宋体" w:eastAsia="黑体"/>
                <w:bCs/>
                <w:szCs w:val="21"/>
              </w:rPr>
              <w:t>对应的行业</w:t>
            </w:r>
          </w:p>
        </w:tc>
        <w:tc>
          <w:tcPr>
            <w:tcW w:w="1701" w:type="dxa"/>
          </w:tcPr>
          <w:p w14:paraId="0BE94323">
            <w:pPr>
              <w:spacing w:before="156" w:beforeLines="50" w:after="156" w:afterLines="50"/>
              <w:rPr>
                <w:rFonts w:ascii="黑体" w:hAnsi="宋体" w:eastAsia="黑体"/>
                <w:bCs/>
                <w:szCs w:val="21"/>
              </w:rPr>
            </w:pPr>
            <w:r>
              <w:rPr>
                <w:rFonts w:hint="eastAsia" w:ascii="黑体" w:hAnsi="宋体" w:eastAsia="黑体"/>
                <w:bCs/>
                <w:szCs w:val="21"/>
              </w:rPr>
              <w:t>主要职业类别</w:t>
            </w:r>
          </w:p>
        </w:tc>
        <w:tc>
          <w:tcPr>
            <w:tcW w:w="1418" w:type="dxa"/>
          </w:tcPr>
          <w:p w14:paraId="06B5F7F1">
            <w:pPr>
              <w:spacing w:before="156" w:beforeLines="50" w:after="156" w:afterLines="50"/>
              <w:rPr>
                <w:rFonts w:ascii="黑体" w:hAnsi="宋体" w:eastAsia="黑体"/>
                <w:bCs/>
                <w:szCs w:val="21"/>
              </w:rPr>
            </w:pPr>
            <w:r>
              <w:rPr>
                <w:rFonts w:hint="eastAsia" w:ascii="黑体" w:hAnsi="宋体" w:eastAsia="黑体"/>
                <w:bCs/>
                <w:szCs w:val="21"/>
              </w:rPr>
              <w:t>主要岗位类别（或技术领域）</w:t>
            </w:r>
          </w:p>
        </w:tc>
        <w:tc>
          <w:tcPr>
            <w:tcW w:w="1742" w:type="dxa"/>
          </w:tcPr>
          <w:p w14:paraId="394FF681">
            <w:pPr>
              <w:spacing w:before="156" w:beforeLines="50" w:after="156" w:afterLines="50"/>
              <w:rPr>
                <w:rFonts w:ascii="黑体" w:hAnsi="宋体" w:eastAsia="黑体"/>
                <w:bCs/>
                <w:szCs w:val="21"/>
              </w:rPr>
            </w:pPr>
            <w:r>
              <w:rPr>
                <w:rFonts w:hint="eastAsia" w:ascii="黑体" w:hAnsi="宋体" w:eastAsia="黑体"/>
                <w:bCs/>
                <w:szCs w:val="21"/>
              </w:rPr>
              <w:t>职业技能等级证书</w:t>
            </w:r>
          </w:p>
        </w:tc>
      </w:tr>
      <w:tr w14:paraId="38E3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9" w:hRule="atLeast"/>
          <w:jc w:val="center"/>
        </w:trPr>
        <w:tc>
          <w:tcPr>
            <w:tcW w:w="1159" w:type="dxa"/>
          </w:tcPr>
          <w:p w14:paraId="1CD912FF">
            <w:pPr>
              <w:spacing w:before="156" w:beforeLines="50" w:after="156" w:afterLines="50"/>
              <w:rPr>
                <w:rFonts w:ascii="宋体" w:hAnsi="宋体"/>
                <w:sz w:val="18"/>
                <w:szCs w:val="18"/>
              </w:rPr>
            </w:pPr>
            <w:r>
              <w:rPr>
                <w:rFonts w:hint="eastAsia" w:ascii="宋体" w:hAnsi="宋体"/>
                <w:sz w:val="18"/>
                <w:szCs w:val="18"/>
              </w:rPr>
              <w:t>财经商贸大类（</w:t>
            </w:r>
            <w:r>
              <w:rPr>
                <w:rFonts w:hint="eastAsia" w:ascii="宋体" w:hAnsi="宋体"/>
                <w:sz w:val="18"/>
                <w:szCs w:val="18"/>
                <w:lang w:val="en-US" w:eastAsia="zh-CN"/>
              </w:rPr>
              <w:t>5</w:t>
            </w:r>
            <w:r>
              <w:rPr>
                <w:rFonts w:hint="eastAsia" w:ascii="宋体" w:hAnsi="宋体"/>
                <w:sz w:val="18"/>
                <w:szCs w:val="18"/>
              </w:rPr>
              <w:t>3）</w:t>
            </w:r>
          </w:p>
        </w:tc>
        <w:tc>
          <w:tcPr>
            <w:tcW w:w="919" w:type="dxa"/>
          </w:tcPr>
          <w:p w14:paraId="18D5E787">
            <w:pPr>
              <w:spacing w:before="156" w:beforeLines="50" w:after="156" w:afterLines="50"/>
              <w:rPr>
                <w:rFonts w:ascii="宋体" w:hAnsi="宋体"/>
                <w:sz w:val="18"/>
                <w:szCs w:val="18"/>
              </w:rPr>
            </w:pPr>
            <w:r>
              <w:rPr>
                <w:rFonts w:hint="eastAsia" w:ascii="宋体" w:hAnsi="宋体"/>
                <w:sz w:val="18"/>
                <w:szCs w:val="18"/>
              </w:rPr>
              <w:t>金融类（</w:t>
            </w:r>
            <w:r>
              <w:rPr>
                <w:rFonts w:hint="eastAsia" w:ascii="宋体" w:hAnsi="宋体"/>
                <w:sz w:val="18"/>
                <w:szCs w:val="18"/>
                <w:lang w:val="en-US" w:eastAsia="zh-CN"/>
              </w:rPr>
              <w:t>5</w:t>
            </w:r>
            <w:r>
              <w:rPr>
                <w:rFonts w:hint="eastAsia" w:ascii="宋体" w:hAnsi="宋体"/>
                <w:sz w:val="18"/>
                <w:szCs w:val="18"/>
              </w:rPr>
              <w:t>302）</w:t>
            </w:r>
          </w:p>
        </w:tc>
        <w:tc>
          <w:tcPr>
            <w:tcW w:w="1559" w:type="dxa"/>
          </w:tcPr>
          <w:p w14:paraId="7B16827B">
            <w:pPr>
              <w:spacing w:before="156" w:beforeLines="50" w:after="156" w:afterLines="50"/>
              <w:rPr>
                <w:rFonts w:hint="eastAsia" w:ascii="宋体" w:hAnsi="宋体"/>
                <w:sz w:val="18"/>
                <w:szCs w:val="18"/>
              </w:rPr>
            </w:pPr>
            <w:r>
              <w:rPr>
                <w:rFonts w:hint="eastAsia" w:ascii="宋体" w:hAnsi="宋体"/>
                <w:sz w:val="18"/>
                <w:szCs w:val="18"/>
              </w:rPr>
              <w:t>货币金融服务（66）</w:t>
            </w:r>
          </w:p>
          <w:p w14:paraId="760FC28F">
            <w:pPr>
              <w:spacing w:before="156" w:beforeLines="50" w:after="156" w:afterLines="50"/>
              <w:rPr>
                <w:rFonts w:hint="eastAsia" w:ascii="宋体" w:hAnsi="宋体"/>
                <w:sz w:val="18"/>
                <w:szCs w:val="18"/>
                <w:lang w:eastAsia="zh-CN"/>
              </w:rPr>
            </w:pPr>
            <w:r>
              <w:rPr>
                <w:rFonts w:hint="eastAsia" w:ascii="宋体" w:hAnsi="宋体"/>
                <w:sz w:val="18"/>
                <w:szCs w:val="18"/>
                <w:lang w:eastAsia="zh-CN"/>
              </w:rPr>
              <w:t>资本市场服务（</w:t>
            </w:r>
            <w:r>
              <w:rPr>
                <w:rFonts w:hint="eastAsia" w:ascii="宋体" w:hAnsi="宋体"/>
                <w:sz w:val="18"/>
                <w:szCs w:val="18"/>
                <w:lang w:val="en-US" w:eastAsia="zh-CN"/>
              </w:rPr>
              <w:t>67</w:t>
            </w:r>
            <w:r>
              <w:rPr>
                <w:rFonts w:hint="eastAsia" w:ascii="宋体" w:hAnsi="宋体"/>
                <w:sz w:val="18"/>
                <w:szCs w:val="18"/>
                <w:lang w:eastAsia="zh-CN"/>
              </w:rPr>
              <w:t>）</w:t>
            </w:r>
          </w:p>
          <w:p w14:paraId="1577EA35">
            <w:pPr>
              <w:spacing w:before="156" w:beforeLines="50" w:after="156" w:afterLines="50"/>
              <w:rPr>
                <w:rFonts w:hint="eastAsia" w:ascii="宋体" w:hAnsi="宋体"/>
                <w:sz w:val="18"/>
                <w:szCs w:val="18"/>
                <w:lang w:eastAsia="zh-CN"/>
              </w:rPr>
            </w:pPr>
            <w:r>
              <w:rPr>
                <w:rFonts w:hint="eastAsia" w:ascii="宋体" w:hAnsi="宋体"/>
                <w:sz w:val="18"/>
                <w:szCs w:val="18"/>
                <w:lang w:eastAsia="zh-CN"/>
              </w:rPr>
              <w:t>保险业（</w:t>
            </w:r>
            <w:r>
              <w:rPr>
                <w:rFonts w:hint="eastAsia" w:ascii="宋体" w:hAnsi="宋体"/>
                <w:sz w:val="18"/>
                <w:szCs w:val="18"/>
                <w:lang w:val="en-US" w:eastAsia="zh-CN"/>
              </w:rPr>
              <w:t>68</w:t>
            </w:r>
            <w:r>
              <w:rPr>
                <w:rFonts w:hint="eastAsia" w:ascii="宋体" w:hAnsi="宋体"/>
                <w:sz w:val="18"/>
                <w:szCs w:val="18"/>
                <w:lang w:eastAsia="zh-CN"/>
              </w:rPr>
              <w:t>）</w:t>
            </w:r>
          </w:p>
          <w:p w14:paraId="7E311BDB">
            <w:pPr>
              <w:spacing w:before="156" w:beforeLines="50" w:after="156" w:afterLines="50"/>
              <w:rPr>
                <w:rFonts w:ascii="黑体" w:hAnsi="宋体" w:eastAsia="黑体"/>
                <w:bCs/>
                <w:szCs w:val="21"/>
              </w:rPr>
            </w:pPr>
            <w:r>
              <w:rPr>
                <w:rFonts w:hint="eastAsia" w:ascii="宋体" w:hAnsi="宋体"/>
                <w:sz w:val="18"/>
                <w:szCs w:val="18"/>
              </w:rPr>
              <w:t>其他金融业（69）</w:t>
            </w:r>
          </w:p>
        </w:tc>
        <w:tc>
          <w:tcPr>
            <w:tcW w:w="1701" w:type="dxa"/>
          </w:tcPr>
          <w:p w14:paraId="7C0271C7">
            <w:pPr>
              <w:spacing w:before="156" w:beforeLines="50" w:after="156" w:afterLines="50"/>
              <w:rPr>
                <w:rFonts w:hint="eastAsia"/>
                <w:sz w:val="18"/>
                <w:szCs w:val="18"/>
                <w:lang w:eastAsia="zh-CN"/>
              </w:rPr>
            </w:pPr>
            <w:r>
              <w:rPr>
                <w:rFonts w:hint="eastAsia"/>
                <w:sz w:val="18"/>
                <w:szCs w:val="18"/>
              </w:rPr>
              <w:t>证券投资顾问</w:t>
            </w:r>
            <w:r>
              <w:rPr>
                <w:rFonts w:hint="eastAsia"/>
                <w:sz w:val="18"/>
                <w:szCs w:val="18"/>
                <w:lang w:eastAsia="zh-CN"/>
              </w:rPr>
              <w:t>（</w:t>
            </w:r>
            <w:r>
              <w:rPr>
                <w:rFonts w:hint="eastAsia"/>
                <w:sz w:val="18"/>
                <w:szCs w:val="18"/>
                <w:lang w:val="en-US" w:eastAsia="zh-CN"/>
              </w:rPr>
              <w:t>2-07-03-03</w:t>
            </w:r>
            <w:r>
              <w:rPr>
                <w:rFonts w:hint="eastAsia"/>
                <w:sz w:val="18"/>
                <w:szCs w:val="18"/>
                <w:lang w:eastAsia="zh-CN"/>
              </w:rPr>
              <w:t>）</w:t>
            </w:r>
          </w:p>
          <w:p w14:paraId="39BD7FE9">
            <w:pPr>
              <w:spacing w:before="156" w:beforeLines="50" w:after="156" w:afterLines="50"/>
              <w:rPr>
                <w:rFonts w:hint="eastAsia"/>
                <w:sz w:val="18"/>
                <w:szCs w:val="18"/>
              </w:rPr>
            </w:pPr>
            <w:r>
              <w:rPr>
                <w:rFonts w:hint="eastAsia"/>
                <w:sz w:val="18"/>
                <w:szCs w:val="18"/>
              </w:rPr>
              <w:t>保险推销员</w:t>
            </w:r>
          </w:p>
          <w:p w14:paraId="259AE028">
            <w:pPr>
              <w:spacing w:before="156" w:beforeLines="50" w:after="156" w:afterLines="50"/>
              <w:rPr>
                <w:rFonts w:hint="eastAsia"/>
                <w:sz w:val="18"/>
                <w:szCs w:val="18"/>
                <w:lang w:eastAsia="zh-CN"/>
              </w:rPr>
            </w:pPr>
            <w:r>
              <w:rPr>
                <w:rFonts w:hint="eastAsia"/>
                <w:sz w:val="18"/>
                <w:szCs w:val="18"/>
                <w:lang w:eastAsia="zh-CN"/>
              </w:rPr>
              <w:t>（</w:t>
            </w:r>
            <w:r>
              <w:rPr>
                <w:rFonts w:hint="eastAsia"/>
                <w:sz w:val="18"/>
                <w:szCs w:val="18"/>
                <w:lang w:val="en-US" w:eastAsia="zh-CN"/>
              </w:rPr>
              <w:t>2-07-02-02</w:t>
            </w:r>
            <w:r>
              <w:rPr>
                <w:rFonts w:hint="eastAsia"/>
                <w:sz w:val="18"/>
                <w:szCs w:val="18"/>
                <w:lang w:eastAsia="zh-CN"/>
              </w:rPr>
              <w:t>）</w:t>
            </w:r>
          </w:p>
          <w:p w14:paraId="3BF07109">
            <w:pPr>
              <w:spacing w:before="156" w:beforeLines="50" w:after="156" w:afterLines="50"/>
              <w:rPr>
                <w:rFonts w:hint="eastAsia"/>
                <w:sz w:val="18"/>
                <w:szCs w:val="18"/>
                <w:lang w:eastAsia="zh-CN"/>
              </w:rPr>
            </w:pPr>
            <w:r>
              <w:rPr>
                <w:rFonts w:hint="eastAsia"/>
                <w:sz w:val="18"/>
                <w:szCs w:val="18"/>
              </w:rPr>
              <w:t>保险理赔员</w:t>
            </w:r>
            <w:r>
              <w:rPr>
                <w:rFonts w:hint="eastAsia"/>
                <w:sz w:val="18"/>
                <w:szCs w:val="18"/>
                <w:lang w:eastAsia="zh-CN"/>
              </w:rPr>
              <w:t>（</w:t>
            </w:r>
            <w:r>
              <w:rPr>
                <w:rFonts w:hint="eastAsia"/>
                <w:sz w:val="18"/>
                <w:szCs w:val="18"/>
                <w:lang w:val="en-US" w:eastAsia="zh-CN"/>
              </w:rPr>
              <w:t>2-07-02-03</w:t>
            </w:r>
            <w:r>
              <w:rPr>
                <w:rFonts w:hint="eastAsia"/>
                <w:sz w:val="18"/>
                <w:szCs w:val="18"/>
                <w:lang w:eastAsia="zh-CN"/>
              </w:rPr>
              <w:t>）</w:t>
            </w:r>
          </w:p>
          <w:p w14:paraId="4906E5E4">
            <w:pPr>
              <w:spacing w:before="156" w:beforeLines="50" w:after="156" w:afterLines="50"/>
              <w:rPr>
                <w:rFonts w:hint="eastAsia"/>
                <w:sz w:val="18"/>
                <w:szCs w:val="18"/>
              </w:rPr>
            </w:pPr>
            <w:r>
              <w:rPr>
                <w:rFonts w:hint="eastAsia"/>
                <w:sz w:val="18"/>
                <w:szCs w:val="18"/>
              </w:rPr>
              <w:t>其他金融</w:t>
            </w:r>
            <w:r>
              <w:rPr>
                <w:rFonts w:hint="eastAsia"/>
                <w:sz w:val="18"/>
                <w:szCs w:val="18"/>
                <w:lang w:eastAsia="zh-CN"/>
              </w:rPr>
              <w:t>业务</w:t>
            </w:r>
            <w:r>
              <w:rPr>
                <w:rFonts w:hint="eastAsia"/>
                <w:sz w:val="18"/>
                <w:szCs w:val="18"/>
              </w:rPr>
              <w:t>人员</w:t>
            </w:r>
          </w:p>
          <w:p w14:paraId="76733810">
            <w:pPr>
              <w:spacing w:before="156" w:beforeLines="50" w:after="156" w:afterLines="50"/>
              <w:rPr>
                <w:rFonts w:ascii="黑体" w:hAnsi="宋体" w:eastAsia="黑体"/>
                <w:bCs/>
                <w:szCs w:val="21"/>
              </w:rPr>
            </w:pPr>
            <w:r>
              <w:rPr>
                <w:rFonts w:hint="eastAsia"/>
                <w:sz w:val="18"/>
                <w:szCs w:val="18"/>
                <w:lang w:val="en-US" w:eastAsia="zh-CN"/>
              </w:rPr>
              <w:t>（2-07-99-00）</w:t>
            </w:r>
          </w:p>
        </w:tc>
        <w:tc>
          <w:tcPr>
            <w:tcW w:w="1418" w:type="dxa"/>
          </w:tcPr>
          <w:p w14:paraId="7B9C0051">
            <w:pPr>
              <w:spacing w:before="156" w:beforeLines="50" w:after="156" w:afterLines="50"/>
              <w:rPr>
                <w:rFonts w:hint="eastAsia"/>
                <w:sz w:val="18"/>
                <w:szCs w:val="18"/>
              </w:rPr>
            </w:pPr>
            <w:r>
              <w:rPr>
                <w:rFonts w:hint="eastAsia"/>
                <w:sz w:val="18"/>
                <w:szCs w:val="18"/>
              </w:rPr>
              <w:t>证券投资顾问</w:t>
            </w:r>
          </w:p>
          <w:p w14:paraId="6E537BBF">
            <w:pPr>
              <w:spacing w:before="156" w:beforeLines="50" w:after="156" w:afterLines="50"/>
              <w:rPr>
                <w:rFonts w:hint="eastAsia" w:eastAsia="宋体"/>
                <w:sz w:val="18"/>
                <w:szCs w:val="18"/>
                <w:lang w:eastAsia="zh-CN"/>
              </w:rPr>
            </w:pPr>
            <w:r>
              <w:rPr>
                <w:rFonts w:hint="eastAsia"/>
                <w:sz w:val="18"/>
                <w:szCs w:val="18"/>
                <w:lang w:eastAsia="zh-CN"/>
              </w:rPr>
              <w:t>保险产品销售</w:t>
            </w:r>
          </w:p>
          <w:p w14:paraId="08778986">
            <w:pPr>
              <w:spacing w:before="156" w:beforeLines="50" w:after="156" w:afterLines="50"/>
              <w:rPr>
                <w:rFonts w:hint="eastAsia"/>
                <w:sz w:val="18"/>
                <w:szCs w:val="18"/>
              </w:rPr>
            </w:pPr>
            <w:r>
              <w:rPr>
                <w:rFonts w:hint="eastAsia"/>
                <w:sz w:val="18"/>
                <w:szCs w:val="18"/>
              </w:rPr>
              <w:t>保险理赔</w:t>
            </w:r>
          </w:p>
          <w:p w14:paraId="69012246">
            <w:pPr>
              <w:spacing w:before="156" w:beforeLines="50" w:after="156" w:afterLines="50"/>
              <w:rPr>
                <w:rFonts w:hint="eastAsia"/>
                <w:sz w:val="18"/>
                <w:szCs w:val="18"/>
                <w:lang w:eastAsia="zh-CN"/>
              </w:rPr>
            </w:pPr>
            <w:r>
              <w:rPr>
                <w:rFonts w:hint="eastAsia"/>
                <w:sz w:val="18"/>
                <w:szCs w:val="18"/>
                <w:lang w:eastAsia="zh-CN"/>
              </w:rPr>
              <w:t>汽车金融</w:t>
            </w:r>
          </w:p>
          <w:p w14:paraId="69ADDDAA">
            <w:pPr>
              <w:spacing w:before="156" w:beforeLines="50" w:after="156" w:afterLines="50"/>
              <w:rPr>
                <w:rFonts w:hint="eastAsia"/>
                <w:sz w:val="18"/>
                <w:szCs w:val="18"/>
                <w:lang w:eastAsia="zh-CN"/>
              </w:rPr>
            </w:pPr>
            <w:r>
              <w:rPr>
                <w:rFonts w:hint="eastAsia"/>
                <w:sz w:val="18"/>
                <w:szCs w:val="18"/>
                <w:lang w:eastAsia="zh-CN"/>
              </w:rPr>
              <w:t>理财顾问</w:t>
            </w:r>
          </w:p>
        </w:tc>
        <w:tc>
          <w:tcPr>
            <w:tcW w:w="1742" w:type="dxa"/>
          </w:tcPr>
          <w:p w14:paraId="418314EA">
            <w:pPr>
              <w:spacing w:before="156" w:beforeLines="50" w:after="156" w:afterLines="50"/>
              <w:rPr>
                <w:sz w:val="18"/>
                <w:szCs w:val="18"/>
              </w:rPr>
            </w:pPr>
            <w:r>
              <w:rPr>
                <w:rFonts w:hint="eastAsia"/>
                <w:sz w:val="18"/>
                <w:szCs w:val="18"/>
              </w:rPr>
              <w:t>证券从业资格证书</w:t>
            </w:r>
          </w:p>
          <w:p w14:paraId="4D720DD7">
            <w:pPr>
              <w:spacing w:before="156" w:beforeLines="50" w:after="156" w:afterLines="50"/>
              <w:rPr>
                <w:rFonts w:hint="eastAsia"/>
                <w:sz w:val="18"/>
                <w:szCs w:val="18"/>
              </w:rPr>
            </w:pPr>
            <w:r>
              <w:rPr>
                <w:rFonts w:hint="eastAsia"/>
                <w:sz w:val="18"/>
                <w:szCs w:val="18"/>
              </w:rPr>
              <w:t>银行从业资格证书</w:t>
            </w:r>
          </w:p>
          <w:p w14:paraId="1D09D1B0">
            <w:pPr>
              <w:spacing w:before="156" w:beforeLines="50" w:after="156" w:afterLines="50"/>
              <w:rPr>
                <w:rFonts w:hint="eastAsia" w:eastAsia="宋体"/>
                <w:sz w:val="18"/>
                <w:szCs w:val="18"/>
                <w:lang w:eastAsia="zh-CN"/>
              </w:rPr>
            </w:pPr>
            <w:r>
              <w:rPr>
                <w:rFonts w:hint="eastAsia"/>
                <w:sz w:val="18"/>
                <w:szCs w:val="18"/>
                <w:lang w:eastAsia="zh-CN"/>
              </w:rPr>
              <w:t>保险从业资格证书</w:t>
            </w:r>
          </w:p>
          <w:p w14:paraId="529DB5E7">
            <w:pPr>
              <w:spacing w:before="156" w:beforeLines="50" w:after="156" w:afterLines="50"/>
              <w:rPr>
                <w:rFonts w:hint="eastAsia"/>
                <w:sz w:val="18"/>
                <w:szCs w:val="18"/>
              </w:rPr>
            </w:pPr>
            <w:r>
              <w:rPr>
                <w:rFonts w:hint="eastAsia"/>
                <w:sz w:val="18"/>
                <w:szCs w:val="18"/>
              </w:rPr>
              <w:t>助理经济师资格证书（金融类）</w:t>
            </w:r>
          </w:p>
          <w:p w14:paraId="59720CAD">
            <w:pPr>
              <w:spacing w:before="156" w:beforeLines="50" w:after="156" w:afterLines="50"/>
              <w:rPr>
                <w:rFonts w:hint="eastAsia"/>
                <w:sz w:val="18"/>
                <w:szCs w:val="18"/>
              </w:rPr>
            </w:pPr>
            <w:r>
              <w:rPr>
                <w:rFonts w:hint="eastAsia"/>
                <w:sz w:val="18"/>
                <w:szCs w:val="18"/>
              </w:rPr>
              <w:t>助理会计师资格证书</w:t>
            </w:r>
          </w:p>
          <w:p w14:paraId="36F4CEAF">
            <w:pPr>
              <w:spacing w:before="156" w:beforeLines="50" w:after="156" w:afterLines="50"/>
              <w:rPr>
                <w:rFonts w:ascii="黑体" w:hAnsi="宋体" w:eastAsia="黑体"/>
                <w:bCs/>
                <w:szCs w:val="21"/>
              </w:rPr>
            </w:pPr>
          </w:p>
        </w:tc>
      </w:tr>
    </w:tbl>
    <w:p w14:paraId="4182AAEC">
      <w:pPr>
        <w:tabs>
          <w:tab w:val="left" w:pos="312"/>
        </w:tabs>
        <w:spacing w:line="440" w:lineRule="exact"/>
        <w:ind w:left="420"/>
        <w:rPr>
          <w:rFonts w:ascii="黑体" w:hAnsi="黑体" w:eastAsia="黑体"/>
          <w:color w:val="000000" w:themeColor="text1"/>
          <w:szCs w:val="21"/>
        </w:rPr>
      </w:pPr>
      <w:r>
        <w:rPr>
          <w:rFonts w:hint="eastAsia" w:ascii="黑体" w:hAnsi="黑体" w:eastAsia="黑体"/>
          <w:color w:val="000000" w:themeColor="text1"/>
          <w:szCs w:val="21"/>
        </w:rPr>
        <w:t>（二）职业发展路径</w:t>
      </w:r>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14:paraId="575C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3134D147">
            <w:pPr>
              <w:adjustRightInd w:val="0"/>
              <w:spacing w:line="440" w:lineRule="exact"/>
              <w:jc w:val="center"/>
              <w:rPr>
                <w:color w:val="000000" w:themeColor="text1"/>
                <w:sz w:val="18"/>
                <w:szCs w:val="18"/>
              </w:rPr>
            </w:pPr>
            <w:r>
              <w:rPr>
                <w:rFonts w:hint="eastAsia"/>
                <w:color w:val="000000" w:themeColor="text1"/>
                <w:sz w:val="18"/>
                <w:szCs w:val="18"/>
              </w:rPr>
              <w:t>岗位类型</w:t>
            </w:r>
          </w:p>
        </w:tc>
        <w:tc>
          <w:tcPr>
            <w:tcW w:w="7286" w:type="dxa"/>
          </w:tcPr>
          <w:p w14:paraId="5B16219A">
            <w:pPr>
              <w:adjustRightInd w:val="0"/>
              <w:spacing w:line="440" w:lineRule="exact"/>
              <w:jc w:val="center"/>
              <w:rPr>
                <w:color w:val="000000" w:themeColor="text1"/>
                <w:sz w:val="18"/>
                <w:szCs w:val="18"/>
              </w:rPr>
            </w:pPr>
            <w:r>
              <w:rPr>
                <w:rFonts w:hint="eastAsia"/>
                <w:color w:val="000000" w:themeColor="text1"/>
                <w:sz w:val="18"/>
                <w:szCs w:val="18"/>
              </w:rPr>
              <w:t>岗位名称</w:t>
            </w:r>
          </w:p>
        </w:tc>
      </w:tr>
      <w:tr w14:paraId="2B50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1D496BF6">
            <w:pPr>
              <w:adjustRightInd w:val="0"/>
              <w:spacing w:line="440" w:lineRule="exact"/>
              <w:jc w:val="center"/>
              <w:rPr>
                <w:color w:val="000000" w:themeColor="text1"/>
                <w:sz w:val="18"/>
                <w:szCs w:val="18"/>
              </w:rPr>
            </w:pPr>
            <w:r>
              <w:rPr>
                <w:rFonts w:hint="eastAsia"/>
                <w:color w:val="000000" w:themeColor="text1"/>
                <w:sz w:val="18"/>
                <w:szCs w:val="18"/>
              </w:rPr>
              <w:t>就业岗位</w:t>
            </w:r>
          </w:p>
        </w:tc>
        <w:tc>
          <w:tcPr>
            <w:tcW w:w="7286" w:type="dxa"/>
          </w:tcPr>
          <w:p w14:paraId="183625B4">
            <w:pPr>
              <w:adjustRightInd w:val="0"/>
              <w:spacing w:line="440" w:lineRule="exact"/>
              <w:rPr>
                <w:color w:val="000000" w:themeColor="text1"/>
                <w:sz w:val="18"/>
                <w:szCs w:val="18"/>
              </w:rPr>
            </w:pPr>
            <w:r>
              <w:rPr>
                <w:rFonts w:hint="eastAsia"/>
                <w:color w:val="000000" w:themeColor="text1"/>
                <w:sz w:val="18"/>
                <w:szCs w:val="18"/>
              </w:rPr>
              <w:t>保险顾问、证券投资顾问、汽车金融顾问、金融产品销售</w:t>
            </w:r>
          </w:p>
        </w:tc>
      </w:tr>
      <w:tr w14:paraId="4E2A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36F6CCF">
            <w:pPr>
              <w:adjustRightInd w:val="0"/>
              <w:spacing w:line="440" w:lineRule="exact"/>
              <w:jc w:val="center"/>
              <w:rPr>
                <w:color w:val="000000" w:themeColor="text1"/>
                <w:sz w:val="18"/>
                <w:szCs w:val="18"/>
              </w:rPr>
            </w:pPr>
            <w:r>
              <w:rPr>
                <w:rFonts w:hint="eastAsia"/>
                <w:color w:val="000000" w:themeColor="text1"/>
                <w:sz w:val="18"/>
                <w:szCs w:val="18"/>
              </w:rPr>
              <w:t>发展岗位</w:t>
            </w:r>
          </w:p>
        </w:tc>
        <w:tc>
          <w:tcPr>
            <w:tcW w:w="7286" w:type="dxa"/>
          </w:tcPr>
          <w:p w14:paraId="32B864CC">
            <w:pPr>
              <w:adjustRightInd w:val="0"/>
              <w:spacing w:line="440" w:lineRule="exact"/>
              <w:rPr>
                <w:rFonts w:hint="eastAsia" w:eastAsia="宋体"/>
                <w:color w:val="000000" w:themeColor="text1"/>
                <w:sz w:val="18"/>
                <w:szCs w:val="18"/>
                <w:lang w:eastAsia="zh-CN"/>
              </w:rPr>
            </w:pPr>
            <w:r>
              <w:rPr>
                <w:rFonts w:hint="eastAsia"/>
                <w:color w:val="000000" w:themeColor="text1"/>
                <w:sz w:val="18"/>
                <w:szCs w:val="18"/>
              </w:rPr>
              <w:t>保险产品经理、理财产品经理</w:t>
            </w:r>
            <w:r>
              <w:rPr>
                <w:rFonts w:hint="eastAsia"/>
                <w:color w:val="000000" w:themeColor="text1"/>
                <w:sz w:val="18"/>
                <w:szCs w:val="18"/>
                <w:lang w:eastAsia="zh-CN"/>
              </w:rPr>
              <w:t>、客服经理、</w:t>
            </w:r>
            <w:r>
              <w:rPr>
                <w:rFonts w:hint="eastAsia"/>
                <w:color w:val="000000" w:themeColor="text1"/>
                <w:sz w:val="18"/>
                <w:szCs w:val="18"/>
              </w:rPr>
              <w:t>金融产品经理</w:t>
            </w:r>
          </w:p>
        </w:tc>
      </w:tr>
    </w:tbl>
    <w:p w14:paraId="5926A78F">
      <w:pPr>
        <w:tabs>
          <w:tab w:val="left" w:pos="312"/>
        </w:tabs>
        <w:spacing w:line="440" w:lineRule="exact"/>
        <w:ind w:left="420"/>
        <w:rPr>
          <w:rFonts w:ascii="宋体" w:hAnsi="宋体"/>
          <w:color w:val="000000" w:themeColor="text1"/>
          <w:szCs w:val="21"/>
        </w:rPr>
      </w:pPr>
      <w:r>
        <w:rPr>
          <w:rFonts w:ascii="宋体" w:hAnsi="宋体"/>
          <w:color w:val="000000" w:themeColor="text1"/>
          <w:szCs w:val="21"/>
        </w:rPr>
        <w:t xml:space="preserve">   </w:t>
      </w:r>
      <w:r>
        <w:rPr>
          <w:rFonts w:hint="eastAsia" w:ascii="黑体" w:hAnsi="黑体" w:eastAsia="黑体"/>
          <w:color w:val="000000" w:themeColor="text1"/>
          <w:szCs w:val="21"/>
        </w:rPr>
        <w:t>（三）典型工作任务与职业能力分析</w:t>
      </w:r>
    </w:p>
    <w:tbl>
      <w:tblPr>
        <w:tblStyle w:val="13"/>
        <w:tblW w:w="8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663"/>
        <w:gridCol w:w="4395"/>
      </w:tblGrid>
      <w:tr w14:paraId="476A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ED0A9D9">
            <w:pPr>
              <w:adjustRightInd w:val="0"/>
              <w:spacing w:line="440" w:lineRule="exact"/>
              <w:jc w:val="center"/>
              <w:rPr>
                <w:color w:val="000000" w:themeColor="text1"/>
                <w:sz w:val="18"/>
                <w:szCs w:val="18"/>
              </w:rPr>
            </w:pPr>
            <w:r>
              <w:rPr>
                <w:rFonts w:hint="eastAsia"/>
                <w:color w:val="000000" w:themeColor="text1"/>
                <w:sz w:val="18"/>
                <w:szCs w:val="18"/>
              </w:rPr>
              <w:t>职业岗位名称</w:t>
            </w:r>
          </w:p>
        </w:tc>
        <w:tc>
          <w:tcPr>
            <w:tcW w:w="2663" w:type="dxa"/>
            <w:vAlign w:val="center"/>
          </w:tcPr>
          <w:p w14:paraId="2FE8DDC5">
            <w:pPr>
              <w:adjustRightInd w:val="0"/>
              <w:spacing w:line="440" w:lineRule="exact"/>
              <w:jc w:val="center"/>
              <w:rPr>
                <w:color w:val="000000" w:themeColor="text1"/>
                <w:sz w:val="18"/>
                <w:szCs w:val="18"/>
              </w:rPr>
            </w:pPr>
            <w:r>
              <w:rPr>
                <w:rFonts w:hint="eastAsia"/>
                <w:color w:val="000000" w:themeColor="text1"/>
                <w:sz w:val="18"/>
                <w:szCs w:val="18"/>
              </w:rPr>
              <w:t>典型工作任务</w:t>
            </w:r>
          </w:p>
        </w:tc>
        <w:tc>
          <w:tcPr>
            <w:tcW w:w="4395" w:type="dxa"/>
            <w:vAlign w:val="center"/>
          </w:tcPr>
          <w:p w14:paraId="650B0E98">
            <w:pPr>
              <w:adjustRightInd w:val="0"/>
              <w:spacing w:line="440" w:lineRule="exact"/>
              <w:jc w:val="center"/>
              <w:rPr>
                <w:color w:val="000000" w:themeColor="text1"/>
                <w:sz w:val="18"/>
                <w:szCs w:val="18"/>
              </w:rPr>
            </w:pPr>
            <w:r>
              <w:rPr>
                <w:rFonts w:hint="eastAsia" w:ascii="宋体" w:hAnsi="宋体" w:cs="宋体"/>
                <w:kern w:val="0"/>
                <w:sz w:val="18"/>
                <w:szCs w:val="18"/>
              </w:rPr>
              <w:t>职业能力要求</w:t>
            </w:r>
          </w:p>
        </w:tc>
      </w:tr>
      <w:tr w14:paraId="373C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4BEB623">
            <w:pPr>
              <w:adjustRightInd w:val="0"/>
              <w:spacing w:line="440" w:lineRule="exact"/>
              <w:rPr>
                <w:color w:val="000000" w:themeColor="text1"/>
                <w:sz w:val="18"/>
                <w:szCs w:val="18"/>
              </w:rPr>
            </w:pPr>
          </w:p>
        </w:tc>
        <w:tc>
          <w:tcPr>
            <w:tcW w:w="2663" w:type="dxa"/>
            <w:vAlign w:val="center"/>
          </w:tcPr>
          <w:p w14:paraId="69D8FDC1">
            <w:pPr>
              <w:adjustRightInd w:val="0"/>
              <w:spacing w:line="440" w:lineRule="exact"/>
              <w:rPr>
                <w:color w:val="000000" w:themeColor="text1"/>
                <w:sz w:val="18"/>
                <w:szCs w:val="18"/>
              </w:rPr>
            </w:pPr>
          </w:p>
        </w:tc>
        <w:tc>
          <w:tcPr>
            <w:tcW w:w="4395" w:type="dxa"/>
          </w:tcPr>
          <w:p w14:paraId="005A9530">
            <w:pPr>
              <w:adjustRightInd w:val="0"/>
              <w:spacing w:line="440" w:lineRule="exact"/>
              <w:rPr>
                <w:color w:val="000000" w:themeColor="text1"/>
                <w:sz w:val="18"/>
                <w:szCs w:val="18"/>
              </w:rPr>
            </w:pPr>
          </w:p>
        </w:tc>
      </w:tr>
      <w:tr w14:paraId="1BFD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023B86F">
            <w:pPr>
              <w:adjustRightInd w:val="0"/>
              <w:spacing w:line="440" w:lineRule="exact"/>
              <w:jc w:val="center"/>
              <w:rPr>
                <w:color w:val="000000" w:themeColor="text1"/>
                <w:sz w:val="18"/>
                <w:szCs w:val="18"/>
              </w:rPr>
            </w:pPr>
            <w:r>
              <w:rPr>
                <w:rFonts w:hint="eastAsia"/>
                <w:color w:val="000000" w:themeColor="text1"/>
                <w:sz w:val="18"/>
                <w:szCs w:val="18"/>
              </w:rPr>
              <w:t>保险顾问</w:t>
            </w:r>
          </w:p>
        </w:tc>
        <w:tc>
          <w:tcPr>
            <w:tcW w:w="2663" w:type="dxa"/>
            <w:vAlign w:val="center"/>
          </w:tcPr>
          <w:p w14:paraId="791010AA">
            <w:pPr>
              <w:adjustRightInd w:val="0"/>
              <w:spacing w:line="440" w:lineRule="exact"/>
              <w:rPr>
                <w:color w:val="000000" w:themeColor="text1"/>
                <w:sz w:val="18"/>
                <w:szCs w:val="18"/>
              </w:rPr>
            </w:pPr>
            <w:r>
              <w:rPr>
                <w:rFonts w:hint="eastAsia"/>
                <w:color w:val="000000" w:themeColor="text1"/>
                <w:sz w:val="18"/>
                <w:szCs w:val="18"/>
              </w:rPr>
              <w:t>保险客户开发与维护；</w:t>
            </w:r>
          </w:p>
          <w:p w14:paraId="43BB7161">
            <w:pPr>
              <w:adjustRightInd w:val="0"/>
              <w:spacing w:line="440" w:lineRule="exact"/>
              <w:rPr>
                <w:color w:val="000000" w:themeColor="text1"/>
                <w:sz w:val="18"/>
                <w:szCs w:val="18"/>
              </w:rPr>
            </w:pPr>
            <w:r>
              <w:rPr>
                <w:rFonts w:hint="eastAsia"/>
                <w:color w:val="000000" w:themeColor="text1"/>
                <w:sz w:val="18"/>
                <w:szCs w:val="18"/>
              </w:rPr>
              <w:t>保险产品销售；</w:t>
            </w:r>
          </w:p>
          <w:p w14:paraId="2445615F">
            <w:pPr>
              <w:adjustRightInd w:val="0"/>
              <w:spacing w:line="440" w:lineRule="exact"/>
              <w:rPr>
                <w:color w:val="000000" w:themeColor="text1"/>
                <w:sz w:val="18"/>
                <w:szCs w:val="18"/>
              </w:rPr>
            </w:pPr>
            <w:r>
              <w:rPr>
                <w:rFonts w:hint="eastAsia"/>
                <w:color w:val="000000" w:themeColor="text1"/>
                <w:sz w:val="18"/>
                <w:szCs w:val="18"/>
              </w:rPr>
              <w:t>协助客户办理投保、缴保等手续。</w:t>
            </w:r>
          </w:p>
        </w:tc>
        <w:tc>
          <w:tcPr>
            <w:tcW w:w="4395" w:type="dxa"/>
          </w:tcPr>
          <w:p w14:paraId="5BD78553">
            <w:pPr>
              <w:adjustRightInd w:val="0"/>
              <w:spacing w:line="440" w:lineRule="exact"/>
              <w:rPr>
                <w:color w:val="000000" w:themeColor="text1"/>
                <w:sz w:val="18"/>
                <w:szCs w:val="18"/>
              </w:rPr>
            </w:pPr>
            <w:r>
              <w:rPr>
                <w:rFonts w:hint="eastAsia"/>
                <w:color w:val="000000" w:themeColor="text1"/>
                <w:sz w:val="18"/>
                <w:szCs w:val="18"/>
              </w:rPr>
              <w:t>（1）具备良好的沟通交流能力和客户拓展能力；</w:t>
            </w:r>
          </w:p>
          <w:p w14:paraId="527ABBF8">
            <w:pPr>
              <w:adjustRightInd w:val="0"/>
              <w:spacing w:line="440" w:lineRule="exact"/>
              <w:rPr>
                <w:color w:val="000000" w:themeColor="text1"/>
                <w:sz w:val="18"/>
                <w:szCs w:val="18"/>
              </w:rPr>
            </w:pPr>
            <w:r>
              <w:rPr>
                <w:rFonts w:hint="eastAsia"/>
                <w:color w:val="000000" w:themeColor="text1"/>
                <w:sz w:val="18"/>
                <w:szCs w:val="18"/>
              </w:rPr>
              <w:t>（2）熟悉各类保险的基本内容及承保、理赔流程；</w:t>
            </w:r>
          </w:p>
          <w:p w14:paraId="15B125E1">
            <w:pPr>
              <w:adjustRightInd w:val="0"/>
              <w:spacing w:line="440" w:lineRule="exact"/>
              <w:rPr>
                <w:color w:val="000000" w:themeColor="text1"/>
                <w:sz w:val="18"/>
                <w:szCs w:val="18"/>
              </w:rPr>
            </w:pPr>
            <w:r>
              <w:rPr>
                <w:rFonts w:hint="eastAsia"/>
                <w:color w:val="000000" w:themeColor="text1"/>
                <w:sz w:val="18"/>
                <w:szCs w:val="18"/>
              </w:rPr>
              <w:t>（3）能进行保险产品的销售；</w:t>
            </w:r>
          </w:p>
          <w:p w14:paraId="5ED4DB64">
            <w:pPr>
              <w:adjustRightInd w:val="0"/>
              <w:spacing w:line="440" w:lineRule="exact"/>
              <w:rPr>
                <w:color w:val="000000" w:themeColor="text1"/>
                <w:sz w:val="18"/>
                <w:szCs w:val="18"/>
              </w:rPr>
            </w:pPr>
            <w:r>
              <w:rPr>
                <w:rFonts w:hint="eastAsia"/>
                <w:color w:val="000000" w:themeColor="text1"/>
                <w:sz w:val="18"/>
                <w:szCs w:val="18"/>
              </w:rPr>
              <w:t>（4）能处理保险合同订立、生效、变更、终止等相关业务；</w:t>
            </w:r>
          </w:p>
          <w:p w14:paraId="4536CE94">
            <w:pPr>
              <w:adjustRightInd w:val="0"/>
              <w:spacing w:line="440" w:lineRule="exact"/>
              <w:rPr>
                <w:color w:val="000000" w:themeColor="text1"/>
                <w:sz w:val="18"/>
                <w:szCs w:val="18"/>
              </w:rPr>
            </w:pPr>
            <w:r>
              <w:rPr>
                <w:rFonts w:hint="eastAsia"/>
                <w:color w:val="000000" w:themeColor="text1"/>
                <w:sz w:val="18"/>
                <w:szCs w:val="18"/>
              </w:rPr>
              <w:t>（5）能处理保险合同纠纷。</w:t>
            </w:r>
          </w:p>
        </w:tc>
      </w:tr>
      <w:tr w14:paraId="62F7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BD9FC84">
            <w:pPr>
              <w:adjustRightInd w:val="0"/>
              <w:spacing w:line="440" w:lineRule="exact"/>
              <w:rPr>
                <w:color w:val="000000" w:themeColor="text1"/>
                <w:sz w:val="18"/>
                <w:szCs w:val="18"/>
              </w:rPr>
            </w:pPr>
            <w:r>
              <w:rPr>
                <w:rFonts w:hint="eastAsia"/>
                <w:color w:val="000000" w:themeColor="text1"/>
                <w:sz w:val="18"/>
                <w:szCs w:val="18"/>
              </w:rPr>
              <w:t>证券投资顾问</w:t>
            </w:r>
          </w:p>
        </w:tc>
        <w:tc>
          <w:tcPr>
            <w:tcW w:w="2663" w:type="dxa"/>
            <w:vAlign w:val="center"/>
          </w:tcPr>
          <w:p w14:paraId="0CD99951">
            <w:pPr>
              <w:adjustRightInd w:val="0"/>
              <w:spacing w:line="440" w:lineRule="exact"/>
              <w:rPr>
                <w:color w:val="000000" w:themeColor="text1"/>
                <w:sz w:val="18"/>
                <w:szCs w:val="18"/>
              </w:rPr>
            </w:pPr>
            <w:r>
              <w:rPr>
                <w:rFonts w:hint="eastAsia"/>
                <w:color w:val="000000" w:themeColor="text1"/>
                <w:sz w:val="18"/>
                <w:szCs w:val="18"/>
              </w:rPr>
              <w:t>证券理财产品、投资理财咨询；</w:t>
            </w:r>
          </w:p>
          <w:p w14:paraId="1049935A">
            <w:pPr>
              <w:adjustRightInd w:val="0"/>
              <w:spacing w:line="440" w:lineRule="exact"/>
              <w:rPr>
                <w:color w:val="000000" w:themeColor="text1"/>
                <w:sz w:val="18"/>
                <w:szCs w:val="18"/>
              </w:rPr>
            </w:pPr>
            <w:r>
              <w:rPr>
                <w:rFonts w:hint="eastAsia"/>
                <w:color w:val="000000" w:themeColor="text1"/>
                <w:sz w:val="18"/>
                <w:szCs w:val="18"/>
              </w:rPr>
              <w:t>金融产品营销；</w:t>
            </w:r>
          </w:p>
          <w:p w14:paraId="1E9219D2">
            <w:pPr>
              <w:adjustRightInd w:val="0"/>
              <w:spacing w:line="440" w:lineRule="exact"/>
              <w:rPr>
                <w:color w:val="000000" w:themeColor="text1"/>
                <w:sz w:val="18"/>
                <w:szCs w:val="18"/>
              </w:rPr>
            </w:pPr>
            <w:r>
              <w:rPr>
                <w:rFonts w:hint="eastAsia"/>
                <w:color w:val="000000" w:themeColor="text1"/>
                <w:sz w:val="18"/>
                <w:szCs w:val="18"/>
              </w:rPr>
              <w:t>潜在客户开发。</w:t>
            </w:r>
          </w:p>
        </w:tc>
        <w:tc>
          <w:tcPr>
            <w:tcW w:w="4395" w:type="dxa"/>
          </w:tcPr>
          <w:p w14:paraId="0CC445D4">
            <w:pPr>
              <w:adjustRightInd w:val="0"/>
              <w:spacing w:line="440" w:lineRule="exact"/>
              <w:rPr>
                <w:color w:val="000000" w:themeColor="text1"/>
                <w:sz w:val="18"/>
                <w:szCs w:val="18"/>
              </w:rPr>
            </w:pPr>
            <w:r>
              <w:rPr>
                <w:rFonts w:hint="eastAsia"/>
                <w:color w:val="000000" w:themeColor="text1"/>
                <w:sz w:val="18"/>
                <w:szCs w:val="18"/>
              </w:rPr>
              <w:t>（1）具备良好的沟通交流能力和客户拓展能力；</w:t>
            </w:r>
          </w:p>
          <w:p w14:paraId="1B5BD380">
            <w:pPr>
              <w:spacing w:line="400" w:lineRule="exact"/>
              <w:rPr>
                <w:color w:val="000000" w:themeColor="text1"/>
                <w:sz w:val="18"/>
                <w:szCs w:val="18"/>
              </w:rPr>
            </w:pPr>
            <w:r>
              <w:rPr>
                <w:rFonts w:hint="eastAsia"/>
                <w:color w:val="000000" w:themeColor="text1"/>
                <w:sz w:val="18"/>
                <w:szCs w:val="18"/>
              </w:rPr>
              <w:t>（2）掌握证券的种类和特点；证券市场运行的机制；</w:t>
            </w:r>
          </w:p>
          <w:p w14:paraId="400624C0">
            <w:pPr>
              <w:adjustRightInd w:val="0"/>
              <w:spacing w:line="440" w:lineRule="exact"/>
              <w:rPr>
                <w:color w:val="000000" w:themeColor="text1"/>
                <w:sz w:val="18"/>
                <w:szCs w:val="18"/>
              </w:rPr>
            </w:pPr>
            <w:r>
              <w:rPr>
                <w:rFonts w:hint="eastAsia"/>
                <w:color w:val="000000" w:themeColor="text1"/>
                <w:sz w:val="18"/>
                <w:szCs w:val="18"/>
              </w:rPr>
              <w:t>（3）掌握证券交易程序，委托买卖及成交规则和交易结算；</w:t>
            </w:r>
          </w:p>
          <w:p w14:paraId="59288B1B">
            <w:pPr>
              <w:adjustRightInd w:val="0"/>
              <w:spacing w:line="440" w:lineRule="exact"/>
              <w:rPr>
                <w:color w:val="000000" w:themeColor="text1"/>
                <w:sz w:val="18"/>
                <w:szCs w:val="18"/>
              </w:rPr>
            </w:pPr>
            <w:r>
              <w:rPr>
                <w:rFonts w:hint="eastAsia"/>
                <w:color w:val="000000" w:themeColor="text1"/>
                <w:sz w:val="18"/>
                <w:szCs w:val="18"/>
              </w:rPr>
              <w:t>（4）掌握经纪业务的风险和相关法律责任，能设计合适的风险管理方案；</w:t>
            </w:r>
          </w:p>
        </w:tc>
      </w:tr>
      <w:tr w14:paraId="777C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273CF741">
            <w:pPr>
              <w:adjustRightInd w:val="0"/>
              <w:spacing w:line="440" w:lineRule="exact"/>
              <w:rPr>
                <w:rFonts w:hint="eastAsia" w:ascii="Times New Roman" w:hAnsi="Times New Roman" w:eastAsia="宋体" w:cs="Times New Roman"/>
                <w:color w:val="000000" w:themeColor="text1"/>
                <w:kern w:val="2"/>
                <w:sz w:val="18"/>
                <w:szCs w:val="18"/>
                <w:lang w:val="en-US" w:eastAsia="zh-CN" w:bidi="ar-SA"/>
              </w:rPr>
            </w:pPr>
            <w:r>
              <w:rPr>
                <w:rFonts w:hint="eastAsia"/>
                <w:color w:val="000000" w:themeColor="text1"/>
                <w:sz w:val="18"/>
                <w:szCs w:val="18"/>
              </w:rPr>
              <w:t>汽车金融顾问</w:t>
            </w:r>
          </w:p>
        </w:tc>
        <w:tc>
          <w:tcPr>
            <w:tcW w:w="2663" w:type="dxa"/>
            <w:vAlign w:val="center"/>
          </w:tcPr>
          <w:p w14:paraId="1225D83A">
            <w:pPr>
              <w:adjustRightInd w:val="0"/>
              <w:spacing w:line="440" w:lineRule="exact"/>
              <w:rPr>
                <w:color w:val="000000" w:themeColor="text1"/>
                <w:sz w:val="18"/>
                <w:szCs w:val="18"/>
              </w:rPr>
            </w:pPr>
            <w:r>
              <w:rPr>
                <w:rFonts w:hint="eastAsia"/>
                <w:color w:val="000000" w:themeColor="text1"/>
                <w:sz w:val="18"/>
                <w:szCs w:val="18"/>
              </w:rPr>
              <w:t>为客户讲解金融产品；</w:t>
            </w:r>
          </w:p>
          <w:p w14:paraId="65700DC1">
            <w:pPr>
              <w:adjustRightInd w:val="0"/>
              <w:spacing w:line="440" w:lineRule="exact"/>
              <w:rPr>
                <w:color w:val="000000" w:themeColor="text1"/>
                <w:sz w:val="18"/>
                <w:szCs w:val="18"/>
              </w:rPr>
            </w:pPr>
            <w:r>
              <w:rPr>
                <w:rFonts w:hint="eastAsia"/>
                <w:color w:val="000000" w:themeColor="text1"/>
                <w:sz w:val="18"/>
                <w:szCs w:val="18"/>
              </w:rPr>
              <w:t>为客户讲解贷款流程；</w:t>
            </w:r>
          </w:p>
          <w:p w14:paraId="4851619C">
            <w:pPr>
              <w:adjustRightInd w:val="0"/>
              <w:spacing w:line="440" w:lineRule="exact"/>
              <w:rPr>
                <w:rFonts w:hint="eastAsia" w:ascii="Times New Roman" w:hAnsi="Times New Roman" w:eastAsia="宋体" w:cs="Times New Roman"/>
                <w:color w:val="000000" w:themeColor="text1"/>
                <w:kern w:val="2"/>
                <w:sz w:val="18"/>
                <w:szCs w:val="18"/>
                <w:lang w:val="en-US" w:eastAsia="zh-CN" w:bidi="ar-SA"/>
              </w:rPr>
            </w:pPr>
            <w:r>
              <w:rPr>
                <w:rFonts w:hint="eastAsia"/>
                <w:color w:val="000000" w:themeColor="text1"/>
                <w:sz w:val="18"/>
                <w:szCs w:val="18"/>
              </w:rPr>
              <w:t>协助客户准备贷款资料。</w:t>
            </w:r>
          </w:p>
        </w:tc>
        <w:tc>
          <w:tcPr>
            <w:tcW w:w="4395" w:type="dxa"/>
            <w:vAlign w:val="top"/>
          </w:tcPr>
          <w:p w14:paraId="0EF8B236">
            <w:pPr>
              <w:adjustRightInd w:val="0"/>
              <w:spacing w:line="440" w:lineRule="exact"/>
              <w:rPr>
                <w:color w:val="000000" w:themeColor="text1"/>
                <w:sz w:val="18"/>
                <w:szCs w:val="18"/>
              </w:rPr>
            </w:pPr>
            <w:r>
              <w:rPr>
                <w:rFonts w:hint="eastAsia"/>
                <w:color w:val="000000" w:themeColor="text1"/>
                <w:sz w:val="18"/>
                <w:szCs w:val="18"/>
              </w:rPr>
              <w:t>（1）具备良好的汽车专业知识、金融知识，具备良好的沟通交流能力；</w:t>
            </w:r>
          </w:p>
          <w:p w14:paraId="237801A0">
            <w:pPr>
              <w:adjustRightInd w:val="0"/>
              <w:spacing w:line="440" w:lineRule="exact"/>
              <w:rPr>
                <w:color w:val="000000" w:themeColor="text1"/>
                <w:sz w:val="18"/>
                <w:szCs w:val="18"/>
              </w:rPr>
            </w:pPr>
            <w:r>
              <w:rPr>
                <w:rFonts w:hint="eastAsia"/>
                <w:color w:val="000000" w:themeColor="text1"/>
                <w:sz w:val="18"/>
                <w:szCs w:val="18"/>
              </w:rPr>
              <w:t>（2）能进行汽车贷款方案的设计与建议；</w:t>
            </w:r>
          </w:p>
          <w:p w14:paraId="74747A21">
            <w:pPr>
              <w:adjustRightInd w:val="0"/>
              <w:spacing w:line="440" w:lineRule="exact"/>
              <w:rPr>
                <w:color w:val="000000" w:themeColor="text1"/>
                <w:sz w:val="18"/>
                <w:szCs w:val="18"/>
              </w:rPr>
            </w:pPr>
            <w:r>
              <w:rPr>
                <w:rFonts w:hint="eastAsia"/>
                <w:color w:val="000000" w:themeColor="text1"/>
                <w:sz w:val="18"/>
                <w:szCs w:val="18"/>
              </w:rPr>
              <w:t>（3）熟悉汽车贷款合同流程；</w:t>
            </w:r>
          </w:p>
          <w:p w14:paraId="7BFD1AA1">
            <w:pPr>
              <w:adjustRightInd w:val="0"/>
              <w:spacing w:line="440" w:lineRule="exact"/>
              <w:rPr>
                <w:rFonts w:hint="eastAsia" w:ascii="Times New Roman" w:hAnsi="Times New Roman" w:eastAsia="宋体" w:cs="Times New Roman"/>
                <w:color w:val="000000" w:themeColor="text1"/>
                <w:kern w:val="2"/>
                <w:sz w:val="18"/>
                <w:szCs w:val="18"/>
                <w:lang w:val="en-US" w:eastAsia="zh-CN" w:bidi="ar-SA"/>
              </w:rPr>
            </w:pPr>
            <w:r>
              <w:rPr>
                <w:rFonts w:hint="eastAsia"/>
                <w:color w:val="000000" w:themeColor="text1"/>
                <w:sz w:val="18"/>
                <w:szCs w:val="18"/>
              </w:rPr>
              <w:t>（4）能进行相关金融产品销售。</w:t>
            </w:r>
          </w:p>
        </w:tc>
      </w:tr>
    </w:tbl>
    <w:p w14:paraId="6A1E3E37">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五、培养目标与培养规格</w:t>
      </w:r>
    </w:p>
    <w:p w14:paraId="73CF9CA3">
      <w:pPr>
        <w:tabs>
          <w:tab w:val="left" w:pos="312"/>
        </w:tabs>
        <w:spacing w:line="440" w:lineRule="exact"/>
        <w:ind w:left="420"/>
        <w:rPr>
          <w:rFonts w:ascii="黑体" w:hAnsi="黑体" w:eastAsia="黑体"/>
          <w:color w:val="000000" w:themeColor="text1"/>
          <w:szCs w:val="21"/>
        </w:rPr>
      </w:pPr>
      <w:r>
        <w:rPr>
          <w:rFonts w:hint="eastAsia" w:ascii="黑体" w:hAnsi="黑体" w:eastAsia="黑体"/>
          <w:color w:val="000000" w:themeColor="text1"/>
          <w:szCs w:val="21"/>
        </w:rPr>
        <w:t>（一）培养目标</w:t>
      </w:r>
    </w:p>
    <w:p w14:paraId="3F691E01">
      <w:pPr>
        <w:spacing w:line="440" w:lineRule="exact"/>
        <w:ind w:firstLine="420" w:firstLineChars="200"/>
        <w:rPr>
          <w:color w:val="000000" w:themeColor="text1"/>
        </w:rPr>
      </w:pPr>
      <w:r>
        <w:rPr>
          <w:rFonts w:hint="eastAsia"/>
          <w:color w:val="000000" w:themeColor="text1"/>
        </w:rPr>
        <w:t>本专业培养理想信念坚定，德、智、体、美、劳全面发展，具有一定科学文化水平，良好的人文素养、职业道德和创新意识，精益求精的工匠精神，较强的就业能力和可持续发展的能力；掌握金融服务营销、金融服务礼仪、保险、证券、风险管理</w:t>
      </w:r>
      <w:r>
        <w:rPr>
          <w:rFonts w:hint="eastAsia"/>
          <w:color w:val="000000" w:themeColor="text1"/>
          <w:lang w:eastAsia="zh-CN"/>
        </w:rPr>
        <w:t>、理财、</w:t>
      </w:r>
      <w:r>
        <w:rPr>
          <w:rFonts w:hint="eastAsia"/>
          <w:color w:val="000000" w:themeColor="text1"/>
        </w:rPr>
        <w:t>汽车金融等金融专业知识与技能，立足于服务湖南区域经济发展，面向保险公司、证券公司、银行</w:t>
      </w:r>
      <w:r>
        <w:rPr>
          <w:rFonts w:hint="eastAsia"/>
          <w:color w:val="000000" w:themeColor="text1"/>
          <w:lang w:eastAsia="zh-CN"/>
        </w:rPr>
        <w:t>、</w:t>
      </w:r>
      <w:r>
        <w:rPr>
          <w:rFonts w:hint="eastAsia"/>
          <w:color w:val="000000" w:themeColor="text1"/>
        </w:rPr>
        <w:t>汽车金融公司或其他金融机构的证券专业人员、保险专业人员、银行专业人员等职业群，能够从事金融产品营销、理财顾问、保险顾问、证券投资顾问、汽车金融</w:t>
      </w:r>
      <w:r>
        <w:rPr>
          <w:rFonts w:hint="eastAsia"/>
          <w:color w:val="000000" w:themeColor="text1"/>
          <w:lang w:eastAsia="zh-CN"/>
        </w:rPr>
        <w:t>顾问</w:t>
      </w:r>
      <w:r>
        <w:rPr>
          <w:rFonts w:hint="eastAsia"/>
          <w:color w:val="000000" w:themeColor="text1"/>
        </w:rPr>
        <w:t>、</w:t>
      </w:r>
      <w:r>
        <w:rPr>
          <w:rFonts w:hint="eastAsia"/>
          <w:color w:val="000000" w:themeColor="text1"/>
          <w:lang w:eastAsia="zh-CN"/>
        </w:rPr>
        <w:t>客户</w:t>
      </w:r>
      <w:r>
        <w:rPr>
          <w:rFonts w:hint="eastAsia"/>
          <w:color w:val="000000" w:themeColor="text1"/>
        </w:rPr>
        <w:t>经理等工作的</w:t>
      </w:r>
      <w:r>
        <w:rPr>
          <w:rFonts w:hint="eastAsia" w:ascii="宋体" w:hAnsi="宋体"/>
          <w:color w:val="000000" w:themeColor="text1"/>
          <w:szCs w:val="21"/>
        </w:rPr>
        <w:t>复合型</w:t>
      </w:r>
      <w:r>
        <w:rPr>
          <w:rFonts w:hint="eastAsia"/>
          <w:color w:val="000000" w:themeColor="text1"/>
        </w:rPr>
        <w:t>技术技能人才。</w:t>
      </w:r>
    </w:p>
    <w:p w14:paraId="564C272A">
      <w:pPr>
        <w:tabs>
          <w:tab w:val="left" w:pos="312"/>
        </w:tabs>
        <w:spacing w:line="440" w:lineRule="exact"/>
        <w:ind w:firstLine="420" w:firstLineChars="200"/>
        <w:rPr>
          <w:rFonts w:ascii="黑体" w:hAnsi="黑体" w:eastAsia="黑体"/>
          <w:color w:val="000000" w:themeColor="text1"/>
          <w:szCs w:val="21"/>
        </w:rPr>
      </w:pPr>
      <w:r>
        <w:rPr>
          <w:rFonts w:hint="eastAsia" w:ascii="黑体" w:hAnsi="黑体" w:eastAsia="黑体"/>
          <w:color w:val="000000" w:themeColor="text1"/>
          <w:szCs w:val="21"/>
        </w:rPr>
        <w:t>（二）培养规格</w:t>
      </w:r>
    </w:p>
    <w:p w14:paraId="13E2D2D6">
      <w:pPr>
        <w:widowControl/>
        <w:spacing w:line="440" w:lineRule="exact"/>
        <w:ind w:firstLine="420" w:firstLineChars="200"/>
        <w:jc w:val="left"/>
      </w:pPr>
      <w:r>
        <w:rPr>
          <w:rFonts w:hint="eastAsia"/>
        </w:rPr>
        <w:t>以习近平新时代中国特色社会主义思想为指导，深入贯彻党的十九大精神，落实立德树人根本任务，参照教育部公布高职专业类教学国家标准，为适应区域经济发展和满足</w:t>
      </w:r>
      <w:r>
        <w:rPr>
          <w:rFonts w:hint="eastAsia" w:ascii="宋体" w:hAnsi="宋体"/>
          <w:color w:val="000000" w:themeColor="text1"/>
          <w:szCs w:val="21"/>
          <w:lang w:eastAsia="zh-CN"/>
        </w:rPr>
        <w:t>金融服务与管理</w:t>
      </w:r>
      <w:r>
        <w:rPr>
          <w:rFonts w:hint="eastAsia"/>
        </w:rPr>
        <w:t>专业对人才的要求，结合学院学院“好品格、好习惯、好技能”的教育理念，分别从素质、知识、能力等方面规范</w:t>
      </w:r>
      <w:r>
        <w:rPr>
          <w:rFonts w:hint="eastAsia" w:ascii="宋体" w:hAnsi="宋体"/>
          <w:color w:val="000000" w:themeColor="text1"/>
          <w:szCs w:val="21"/>
          <w:lang w:eastAsia="zh-CN"/>
        </w:rPr>
        <w:t>金融服务与管理</w:t>
      </w:r>
      <w:r>
        <w:rPr>
          <w:rFonts w:hint="eastAsia"/>
        </w:rPr>
        <w:t>专业人才培养规格。</w:t>
      </w:r>
    </w:p>
    <w:p w14:paraId="32F1B1A2">
      <w:pPr>
        <w:spacing w:line="440" w:lineRule="exact"/>
        <w:ind w:firstLine="630" w:firstLineChars="300"/>
        <w:rPr>
          <w:color w:val="000000" w:themeColor="text1"/>
        </w:rPr>
      </w:pPr>
      <w:r>
        <w:rPr>
          <w:rFonts w:hint="eastAsia"/>
          <w:color w:val="000000" w:themeColor="text1"/>
        </w:rPr>
        <w:t>1.素质</w:t>
      </w:r>
    </w:p>
    <w:p w14:paraId="3E57556F">
      <w:pPr>
        <w:spacing w:line="440" w:lineRule="exact"/>
        <w:ind w:firstLine="420" w:firstLineChars="200"/>
      </w:pPr>
      <w:r>
        <w:rPr>
          <w:rFonts w:hint="eastAsia"/>
        </w:rPr>
        <w:t>（1）具有正确的世界观、人生观、价值观；遵守宪法，遵规守纪；具有社会责任感与参与意识；热爱祖国，具有中华民族自豪感；坚决拥护中国共产党的领导，树立中国特色社会主义共同理想，践行社会主义核心价值观；</w:t>
      </w:r>
    </w:p>
    <w:p w14:paraId="567678D3">
      <w:pPr>
        <w:spacing w:line="440" w:lineRule="exact"/>
        <w:ind w:firstLine="482"/>
      </w:pPr>
      <w:r>
        <w:rPr>
          <w:rFonts w:hint="eastAsia"/>
          <w:color w:val="000000" w:themeColor="text1"/>
        </w:rPr>
        <w:t>（2）</w:t>
      </w:r>
      <w:r>
        <w:rPr>
          <w:rFonts w:hint="eastAsia"/>
        </w:rPr>
        <w:t>具有良好的职业道德和职业素养。诚实守信，爱岗敬业，具有严谨的工作态度、精益求精的工匠精神；尊重劳动、热爱劳动，具有较强的实践能力；具有与他人合作、沟通、团队协作能力，具有利他精神；具备问题思维，养成思辨的习惯，富有创新能力；具有职业生涯规划意识，具有终生学习能力；</w:t>
      </w:r>
    </w:p>
    <w:p w14:paraId="2B179D71">
      <w:pPr>
        <w:spacing w:line="440" w:lineRule="exact"/>
        <w:ind w:firstLine="482"/>
      </w:pPr>
      <w:r>
        <w:rPr>
          <w:rFonts w:hint="eastAsia"/>
        </w:rPr>
        <w:t>（3）具有良好的身心素质和人文素养。具有一定的审美素养，具有感受美、鉴赏美、创造美的能力；能正确面对困难、压力和挫折，具有积极乐观的心理素质；能够掌握一定的体育运动技能和卫生保健常识，具备健康的体魄；具有良好的生活习惯、行为习惯和自我管理能力。</w:t>
      </w:r>
    </w:p>
    <w:p w14:paraId="762CF084">
      <w:pPr>
        <w:adjustRightInd w:val="0"/>
        <w:snapToGrid w:val="0"/>
        <w:spacing w:line="440" w:lineRule="exact"/>
        <w:ind w:firstLine="420" w:firstLineChars="200"/>
        <w:rPr>
          <w:color w:val="000000" w:themeColor="text1"/>
        </w:rPr>
      </w:pPr>
      <w:r>
        <w:rPr>
          <w:rFonts w:hint="eastAsia"/>
          <w:color w:val="000000" w:themeColor="text1"/>
        </w:rPr>
        <w:t>2.知识</w:t>
      </w:r>
    </w:p>
    <w:p w14:paraId="06090F5B">
      <w:pPr>
        <w:adjustRightInd w:val="0"/>
        <w:snapToGrid w:val="0"/>
        <w:spacing w:line="440" w:lineRule="exact"/>
        <w:ind w:firstLine="420" w:firstLineChars="200"/>
      </w:pPr>
      <w:r>
        <w:rPr>
          <w:rFonts w:hint="eastAsia"/>
        </w:rPr>
        <w:t>（1）掌握必备的思想政治理论、科学文化基础知识和中华优秀传统文化知识；</w:t>
      </w:r>
    </w:p>
    <w:p w14:paraId="2059D58C">
      <w:pPr>
        <w:adjustRightInd w:val="0"/>
        <w:snapToGrid w:val="0"/>
        <w:spacing w:line="440" w:lineRule="exact"/>
        <w:ind w:firstLine="420" w:firstLineChars="200"/>
      </w:pPr>
      <w:r>
        <w:rPr>
          <w:rFonts w:hint="eastAsia"/>
        </w:rPr>
        <w:t>（2）掌握金融礼仪常识；</w:t>
      </w:r>
    </w:p>
    <w:p w14:paraId="3228CAA0">
      <w:pPr>
        <w:adjustRightInd w:val="0"/>
        <w:snapToGrid w:val="0"/>
        <w:spacing w:line="440" w:lineRule="exact"/>
        <w:ind w:firstLine="420" w:firstLineChars="200"/>
      </w:pPr>
      <w:r>
        <w:rPr>
          <w:rFonts w:hint="eastAsia"/>
        </w:rPr>
        <w:t>（3）掌握与本专业相关的法律法规以及环境保护、安全消防等知识；</w:t>
      </w:r>
    </w:p>
    <w:p w14:paraId="64DB5FF4">
      <w:pPr>
        <w:adjustRightInd w:val="0"/>
        <w:snapToGrid w:val="0"/>
        <w:spacing w:line="440" w:lineRule="exact"/>
        <w:ind w:firstLine="420" w:firstLineChars="200"/>
      </w:pPr>
      <w:r>
        <w:rPr>
          <w:rFonts w:hint="eastAsia"/>
        </w:rPr>
        <w:t>（4）掌握</w:t>
      </w:r>
      <w:r>
        <w:rPr>
          <w:rFonts w:hint="eastAsia"/>
          <w:lang w:eastAsia="zh-CN"/>
        </w:rPr>
        <w:t>金融、</w:t>
      </w:r>
      <w:r>
        <w:rPr>
          <w:rFonts w:hint="eastAsia"/>
        </w:rPr>
        <w:t>经济、会计等基础知识；</w:t>
      </w:r>
    </w:p>
    <w:p w14:paraId="17F7D520">
      <w:pPr>
        <w:adjustRightInd w:val="0"/>
        <w:snapToGrid w:val="0"/>
        <w:spacing w:line="440" w:lineRule="exact"/>
        <w:ind w:firstLine="420" w:firstLineChars="200"/>
      </w:pPr>
      <w:r>
        <w:rPr>
          <w:rFonts w:hint="eastAsia"/>
        </w:rPr>
        <w:t>（5）掌握金融产品营销的基本知识与技巧；</w:t>
      </w:r>
    </w:p>
    <w:p w14:paraId="66B369D5">
      <w:pPr>
        <w:adjustRightInd w:val="0"/>
        <w:snapToGrid w:val="0"/>
        <w:spacing w:line="440" w:lineRule="exact"/>
        <w:ind w:firstLine="420" w:firstLineChars="200"/>
      </w:pPr>
      <w:r>
        <w:rPr>
          <w:rFonts w:hint="eastAsia"/>
        </w:rPr>
        <w:t>（6）掌握金融市场调查与分析的基本知识与方法；</w:t>
      </w:r>
    </w:p>
    <w:p w14:paraId="1CC89531">
      <w:pPr>
        <w:adjustRightInd w:val="0"/>
        <w:snapToGrid w:val="0"/>
        <w:spacing w:line="440" w:lineRule="exact"/>
        <w:ind w:firstLine="420" w:firstLineChars="200"/>
      </w:pPr>
      <w:r>
        <w:rPr>
          <w:rFonts w:hint="eastAsia"/>
        </w:rPr>
        <w:t>（7）掌握个人理财基本知识和业务技能；</w:t>
      </w:r>
    </w:p>
    <w:p w14:paraId="09276863">
      <w:pPr>
        <w:adjustRightInd w:val="0"/>
        <w:snapToGrid w:val="0"/>
        <w:spacing w:line="440" w:lineRule="exact"/>
        <w:ind w:firstLine="420" w:firstLineChars="200"/>
      </w:pPr>
      <w:r>
        <w:rPr>
          <w:rFonts w:hint="eastAsia"/>
        </w:rPr>
        <w:t>（8）掌握商业银行经营管理相关内容；</w:t>
      </w:r>
    </w:p>
    <w:p w14:paraId="4C75DC3C">
      <w:pPr>
        <w:adjustRightInd w:val="0"/>
        <w:snapToGrid w:val="0"/>
        <w:spacing w:line="440" w:lineRule="exact"/>
        <w:ind w:firstLine="420" w:firstLineChars="200"/>
      </w:pPr>
      <w:r>
        <w:rPr>
          <w:rFonts w:hint="eastAsia"/>
        </w:rPr>
        <w:t>（9）掌握金融市场风险管理相关知识与风险控制方法；</w:t>
      </w:r>
    </w:p>
    <w:p w14:paraId="31F177D8">
      <w:pPr>
        <w:adjustRightInd w:val="0"/>
        <w:snapToGrid w:val="0"/>
        <w:spacing w:line="440" w:lineRule="exact"/>
        <w:ind w:firstLine="420" w:firstLineChars="200"/>
      </w:pPr>
      <w:r>
        <w:rPr>
          <w:rFonts w:hint="eastAsia"/>
        </w:rPr>
        <w:t>（10）掌握证券投资和保险</w:t>
      </w:r>
      <w:r>
        <w:rPr>
          <w:rFonts w:hint="eastAsia"/>
          <w:lang w:eastAsia="zh-CN"/>
        </w:rPr>
        <w:t>业务</w:t>
      </w:r>
      <w:r>
        <w:rPr>
          <w:rFonts w:hint="eastAsia"/>
        </w:rPr>
        <w:t>的基本理论和</w:t>
      </w:r>
      <w:r>
        <w:rPr>
          <w:rFonts w:hint="eastAsia"/>
          <w:lang w:eastAsia="zh-CN"/>
        </w:rPr>
        <w:t>分析、选择的方法</w:t>
      </w:r>
      <w:r>
        <w:rPr>
          <w:rFonts w:hint="eastAsia"/>
        </w:rPr>
        <w:t>；</w:t>
      </w:r>
    </w:p>
    <w:p w14:paraId="5CFAD6A4">
      <w:pPr>
        <w:adjustRightInd w:val="0"/>
        <w:snapToGrid w:val="0"/>
        <w:spacing w:line="440" w:lineRule="exact"/>
        <w:ind w:firstLine="420" w:firstLineChars="200"/>
      </w:pPr>
      <w:r>
        <w:rPr>
          <w:rFonts w:hint="eastAsia" w:ascii="宋体" w:hAnsi="宋体"/>
        </w:rPr>
        <w:t>（11）熟悉现代金融业的新知识、新技术、新方法、新应用。</w:t>
      </w:r>
    </w:p>
    <w:p w14:paraId="3C68630B">
      <w:pPr>
        <w:spacing w:line="440" w:lineRule="exact"/>
        <w:ind w:firstLine="420" w:firstLineChars="200"/>
      </w:pPr>
      <w:r>
        <w:rPr>
          <w:rFonts w:hint="eastAsia"/>
        </w:rPr>
        <w:t>3.能力</w:t>
      </w:r>
    </w:p>
    <w:p w14:paraId="1EA1C3D3">
      <w:pPr>
        <w:spacing w:line="440" w:lineRule="exact"/>
        <w:ind w:firstLine="420" w:firstLineChars="200"/>
      </w:pPr>
      <w:r>
        <w:rPr>
          <w:rFonts w:hint="eastAsia"/>
        </w:rPr>
        <w:t>（1）具有探究学习、终身学习、分析问题与解决问题的能力；</w:t>
      </w:r>
    </w:p>
    <w:p w14:paraId="76633CCC">
      <w:pPr>
        <w:spacing w:line="440" w:lineRule="exact"/>
        <w:ind w:firstLine="420" w:firstLineChars="200"/>
      </w:pPr>
      <w:r>
        <w:rPr>
          <w:rFonts w:hint="eastAsia"/>
        </w:rPr>
        <w:t>（2）具有良好的口头表达、书面表达和沟通能力，能够熟练运用常规的办公软件；</w:t>
      </w:r>
    </w:p>
    <w:p w14:paraId="419DC7E8">
      <w:pPr>
        <w:spacing w:line="440" w:lineRule="exact"/>
        <w:ind w:firstLine="420" w:firstLineChars="200"/>
      </w:pPr>
      <w:r>
        <w:rPr>
          <w:rFonts w:hint="eastAsia"/>
        </w:rPr>
        <w:t>（3）具有金融礼仪规范应用能力；</w:t>
      </w:r>
    </w:p>
    <w:p w14:paraId="6F647DFB">
      <w:pPr>
        <w:spacing w:line="440" w:lineRule="exact"/>
        <w:ind w:firstLine="420" w:firstLineChars="200"/>
      </w:pPr>
      <w:r>
        <w:rPr>
          <w:rFonts w:hint="eastAsia"/>
        </w:rPr>
        <w:t xml:space="preserve">（4）能进行金融行业市场调查与预测，进行金融产品文案的撰写，金融产品营销推广方案的策划； </w:t>
      </w:r>
    </w:p>
    <w:p w14:paraId="506A1637">
      <w:pPr>
        <w:spacing w:line="440" w:lineRule="exact"/>
        <w:ind w:firstLine="420" w:firstLineChars="200"/>
      </w:pPr>
      <w:r>
        <w:rPr>
          <w:rFonts w:hint="eastAsia"/>
        </w:rPr>
        <w:t>（5）能进行汽车金融市场的开拓，进行汽车金融业务实操；</w:t>
      </w:r>
    </w:p>
    <w:p w14:paraId="6512D003">
      <w:pPr>
        <w:spacing w:line="440" w:lineRule="exact"/>
        <w:ind w:firstLine="420" w:firstLineChars="200"/>
      </w:pPr>
      <w:r>
        <w:rPr>
          <w:rFonts w:hint="eastAsia"/>
        </w:rPr>
        <w:t>（6）能进行证券市场投资分析、保险业务分析；</w:t>
      </w:r>
    </w:p>
    <w:p w14:paraId="58885BBB">
      <w:pPr>
        <w:spacing w:line="440" w:lineRule="exact"/>
        <w:ind w:firstLine="420" w:firstLineChars="200"/>
      </w:pPr>
      <w:r>
        <w:rPr>
          <w:rFonts w:hint="eastAsia"/>
        </w:rPr>
        <w:t>（7）掌握个人理财业务的专业技能，能制定个人理财方案；</w:t>
      </w:r>
    </w:p>
    <w:p w14:paraId="345BA5E9">
      <w:pPr>
        <w:spacing w:line="440" w:lineRule="exact"/>
        <w:ind w:firstLine="420" w:firstLineChars="200"/>
      </w:pPr>
      <w:r>
        <w:rPr>
          <w:rFonts w:hint="eastAsia"/>
        </w:rPr>
        <w:t>（8）能对信息资料进行综合分析与应用，进行金融业务风险的基本分析识别与防范；</w:t>
      </w:r>
    </w:p>
    <w:p w14:paraId="221C0B93">
      <w:pPr>
        <w:spacing w:line="440" w:lineRule="exact"/>
        <w:ind w:firstLine="420" w:firstLineChars="200"/>
      </w:pPr>
      <w:r>
        <w:rPr>
          <w:rFonts w:hint="eastAsia"/>
        </w:rPr>
        <w:t>（9）初步具备金融企业的组织与管理能力。</w:t>
      </w:r>
    </w:p>
    <w:p w14:paraId="7A850827">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六、课程设置及要求</w:t>
      </w:r>
    </w:p>
    <w:p w14:paraId="426528C1">
      <w:pPr>
        <w:adjustRightInd w:val="0"/>
        <w:snapToGrid w:val="0"/>
        <w:spacing w:line="440" w:lineRule="exact"/>
        <w:ind w:firstLine="420" w:firstLineChars="200"/>
      </w:pPr>
      <w:r>
        <w:t>课程分必修课和</w:t>
      </w:r>
      <w:r>
        <w:rPr>
          <w:rFonts w:hint="eastAsia"/>
        </w:rPr>
        <w:t>选修</w:t>
      </w:r>
      <w:r>
        <w:t>课，其中必修课包括公共</w:t>
      </w:r>
      <w:r>
        <w:rPr>
          <w:rFonts w:hint="eastAsia"/>
        </w:rPr>
        <w:t>基础</w:t>
      </w:r>
      <w:r>
        <w:t>课</w:t>
      </w:r>
      <w:r>
        <w:rPr>
          <w:rFonts w:hint="eastAsia"/>
        </w:rPr>
        <w:t>和</w:t>
      </w:r>
      <w:r>
        <w:t>专业课</w:t>
      </w:r>
      <w:r>
        <w:rPr>
          <w:rFonts w:hint="eastAsia"/>
        </w:rPr>
        <w:t>（带★为专业核心课）</w:t>
      </w:r>
      <w:r>
        <w:t>；</w:t>
      </w:r>
      <w:r>
        <w:rPr>
          <w:rFonts w:hint="eastAsia"/>
        </w:rPr>
        <w:t>选修</w:t>
      </w:r>
      <w:r>
        <w:t>课包括</w:t>
      </w:r>
      <w:r>
        <w:rPr>
          <w:rFonts w:hint="eastAsia"/>
        </w:rPr>
        <w:t>专业选修课</w:t>
      </w:r>
      <w:r>
        <w:t>和</w:t>
      </w:r>
      <w:r>
        <w:rPr>
          <w:rFonts w:hint="eastAsia"/>
        </w:rPr>
        <w:t>公共选修</w:t>
      </w:r>
      <w:r>
        <w:t>课</w:t>
      </w:r>
      <w:r>
        <w:rPr>
          <w:rFonts w:hint="eastAsia"/>
        </w:rPr>
        <w:t>。课程设置主要围绕培养目标和培养规格，以满足本专业岗位基本就业能力需要为目标，统筹考虑课程组成、课程类别及课程内容，保证毕业生能达到本专业的毕业要求。</w:t>
      </w:r>
    </w:p>
    <w:p w14:paraId="2D1D3E4D">
      <w:pPr>
        <w:numPr>
          <w:ilvl w:val="0"/>
          <w:numId w:val="1"/>
        </w:numPr>
        <w:tabs>
          <w:tab w:val="left" w:pos="312"/>
        </w:tabs>
        <w:spacing w:line="440" w:lineRule="exact"/>
        <w:ind w:left="420"/>
        <w:rPr>
          <w:rFonts w:hint="eastAsia" w:ascii="黑体" w:hAnsi="黑体" w:eastAsia="黑体"/>
          <w:color w:val="000000" w:themeColor="text1"/>
          <w:szCs w:val="21"/>
        </w:rPr>
      </w:pPr>
      <w:r>
        <w:rPr>
          <w:rFonts w:hint="eastAsia" w:ascii="黑体" w:hAnsi="黑体" w:eastAsia="黑体"/>
          <w:color w:val="000000" w:themeColor="text1"/>
          <w:szCs w:val="21"/>
        </w:rPr>
        <w:t>公共基础必修课</w:t>
      </w:r>
    </w:p>
    <w:tbl>
      <w:tblPr>
        <w:tblStyle w:val="14"/>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985"/>
        <w:gridCol w:w="1920"/>
        <w:gridCol w:w="2782"/>
      </w:tblGrid>
      <w:tr w14:paraId="57F5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7" w:type="dxa"/>
            <w:vAlign w:val="center"/>
          </w:tcPr>
          <w:p w14:paraId="7EE15780">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课程名称</w:t>
            </w:r>
          </w:p>
        </w:tc>
        <w:tc>
          <w:tcPr>
            <w:tcW w:w="2985" w:type="dxa"/>
            <w:vAlign w:val="center"/>
          </w:tcPr>
          <w:p w14:paraId="4144E308">
            <w:pPr>
              <w:adjustRightInd w:val="0"/>
              <w:snapToGrid w:val="0"/>
              <w:spacing w:line="276" w:lineRule="auto"/>
              <w:ind w:firstLine="360" w:firstLineChars="200"/>
              <w:jc w:val="center"/>
              <w:rPr>
                <w:rFonts w:ascii="宋体" w:hAnsi="宋体" w:cs="宋体"/>
                <w:sz w:val="18"/>
                <w:szCs w:val="18"/>
              </w:rPr>
            </w:pPr>
            <w:r>
              <w:rPr>
                <w:rFonts w:hint="eastAsia" w:ascii="宋体" w:hAnsi="宋体" w:cs="宋体"/>
                <w:sz w:val="18"/>
                <w:szCs w:val="18"/>
              </w:rPr>
              <w:t>课程目标</w:t>
            </w:r>
          </w:p>
        </w:tc>
        <w:tc>
          <w:tcPr>
            <w:tcW w:w="1920" w:type="dxa"/>
            <w:vAlign w:val="center"/>
          </w:tcPr>
          <w:p w14:paraId="7FCC3A48">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课程内容</w:t>
            </w:r>
          </w:p>
        </w:tc>
        <w:tc>
          <w:tcPr>
            <w:tcW w:w="2782" w:type="dxa"/>
            <w:vAlign w:val="center"/>
          </w:tcPr>
          <w:p w14:paraId="2BD0201D">
            <w:pPr>
              <w:adjustRightInd w:val="0"/>
              <w:snapToGrid w:val="0"/>
              <w:spacing w:line="276" w:lineRule="auto"/>
              <w:jc w:val="center"/>
              <w:rPr>
                <w:rFonts w:ascii="宋体" w:hAnsi="宋体" w:cs="宋体"/>
                <w:sz w:val="18"/>
                <w:szCs w:val="18"/>
              </w:rPr>
            </w:pPr>
            <w:r>
              <w:rPr>
                <w:rFonts w:hint="eastAsia" w:ascii="宋体" w:hAnsi="宋体" w:cs="宋体"/>
                <w:sz w:val="18"/>
                <w:szCs w:val="18"/>
              </w:rPr>
              <w:t>教学要求</w:t>
            </w:r>
          </w:p>
        </w:tc>
      </w:tr>
      <w:tr w14:paraId="58EB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5EC44FDC">
            <w:pPr>
              <w:snapToGrid w:val="0"/>
              <w:jc w:val="center"/>
              <w:rPr>
                <w:rFonts w:hint="default" w:ascii="宋体" w:hAnsi="宋体"/>
                <w:color w:val="000000"/>
                <w:sz w:val="18"/>
                <w:szCs w:val="18"/>
                <w:lang w:val="en-US"/>
              </w:rPr>
            </w:pPr>
            <w:r>
              <w:rPr>
                <w:rFonts w:hint="eastAsia" w:ascii="宋体" w:hAnsi="宋体"/>
                <w:color w:val="000000"/>
                <w:sz w:val="18"/>
                <w:szCs w:val="18"/>
                <w:lang w:val="en-US" w:eastAsia="zh-CN"/>
              </w:rPr>
              <w:t>思想道德与法治</w:t>
            </w:r>
          </w:p>
        </w:tc>
        <w:tc>
          <w:tcPr>
            <w:tcW w:w="2985" w:type="dxa"/>
            <w:vAlign w:val="top"/>
          </w:tcPr>
          <w:p w14:paraId="44A6EFB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41C8C77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帮助学生筑牢理想信念之基，培育和践行社会主义核心价值观，传承中华传统美德，尊重和维护宪法法律权威，提升思想道德素质和法治素养，提升社会责任感；确立自觉遵守职业道德和行业规范的意识。</w:t>
            </w:r>
          </w:p>
          <w:p w14:paraId="328F2A0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30D5D2D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认识高职生活、学习的特点，掌握理想信念、爱国主义、社会主义核心价值观等基本内涵，掌握社会公德、职业道德、家庭美德和个人品德的基本内涵，初步掌握我国法律的基础知识。</w:t>
            </w:r>
          </w:p>
          <w:p w14:paraId="33AE9A7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407E950E">
            <w:pPr>
              <w:snapToGrid w:val="0"/>
              <w:rPr>
                <w:rFonts w:hint="eastAsia" w:ascii="宋体" w:hAnsi="宋体"/>
                <w:color w:val="000000"/>
                <w:sz w:val="18"/>
                <w:szCs w:val="18"/>
              </w:rPr>
            </w:pPr>
            <w:r>
              <w:rPr>
                <w:rFonts w:hint="eastAsia" w:ascii="宋体" w:hAnsi="宋体"/>
                <w:color w:val="000000"/>
                <w:sz w:val="18"/>
                <w:szCs w:val="18"/>
                <w:lang w:val="en-US" w:eastAsia="zh-CN"/>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1920" w:type="dxa"/>
            <w:vAlign w:val="top"/>
          </w:tcPr>
          <w:p w14:paraId="2929128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（1）适应大学生活；</w:t>
            </w:r>
          </w:p>
          <w:p w14:paraId="2ED88A8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（2）树立正确的“三观”；</w:t>
            </w:r>
          </w:p>
          <w:p w14:paraId="29853DC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（3）坚定理想信念，弘扬中国精神；</w:t>
            </w:r>
          </w:p>
          <w:p w14:paraId="4B7CFEB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（4）践行社会主义核心价值观；</w:t>
            </w:r>
          </w:p>
          <w:p w14:paraId="6143D6F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（5）明大德守公德严私德；</w:t>
            </w:r>
          </w:p>
          <w:p w14:paraId="1F0FFC1F">
            <w:pPr>
              <w:snapToGrid w:val="0"/>
              <w:rPr>
                <w:rFonts w:hint="eastAsia" w:ascii="宋体" w:hAnsi="宋体"/>
                <w:color w:val="000000"/>
                <w:sz w:val="18"/>
                <w:szCs w:val="18"/>
              </w:rPr>
            </w:pPr>
            <w:r>
              <w:rPr>
                <w:rFonts w:hint="eastAsia" w:ascii="宋体" w:hAnsi="宋体"/>
                <w:color w:val="000000"/>
                <w:sz w:val="18"/>
                <w:szCs w:val="18"/>
                <w:lang w:val="en-US" w:eastAsia="zh-CN"/>
              </w:rPr>
              <w:t>（6）尊法学法守法用法。</w:t>
            </w:r>
          </w:p>
        </w:tc>
        <w:tc>
          <w:tcPr>
            <w:tcW w:w="2782" w:type="dxa"/>
            <w:vAlign w:val="top"/>
          </w:tcPr>
          <w:p w14:paraId="66C0404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（1）条件要求：使用多媒体教学，图文并茂地演示教学内容。</w:t>
            </w:r>
          </w:p>
          <w:p w14:paraId="7E0CCA6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课程以学生为中心，立德树人为根本将课程思政融入主题教学中，实施全过程育人；依托职教云等学习平台，采用理论教学模块化与实践教学项目化相结合的教学模式。采用翻转课堂教学法、问题探究教学法、小组合作学习法等教学方法。</w:t>
            </w:r>
          </w:p>
          <w:p w14:paraId="00CEF5C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（3）师资要求：应具有研究生以上学历或讲师以上职称，具备较丰富的教学经验和较高的思想道德素质。</w:t>
            </w:r>
          </w:p>
          <w:p w14:paraId="60474AD7">
            <w:pPr>
              <w:snapToGrid w:val="0"/>
              <w:rPr>
                <w:rFonts w:hint="eastAsia" w:ascii="宋体" w:hAnsi="宋体"/>
                <w:color w:val="000000"/>
                <w:sz w:val="18"/>
                <w:szCs w:val="18"/>
              </w:rPr>
            </w:pPr>
            <w:r>
              <w:rPr>
                <w:rFonts w:hint="eastAsia" w:ascii="宋体" w:hAnsi="宋体"/>
                <w:color w:val="000000"/>
                <w:sz w:val="18"/>
                <w:szCs w:val="18"/>
                <w:lang w:val="en-US" w:eastAsia="zh-CN"/>
              </w:rPr>
              <w:t>（4）考核要求：采用“过程考核+终结性考核”的方式评定成绩。平时过程性考核成绩根据考勤、课堂表现情况、线上学习情况等评定，</w:t>
            </w:r>
            <w:r>
              <w:rPr>
                <w:rFonts w:hint="eastAsia" w:ascii="宋体" w:hAnsi="宋体"/>
                <w:color w:val="auto"/>
                <w:sz w:val="18"/>
                <w:szCs w:val="18"/>
                <w:lang w:val="en-US" w:eastAsia="zh-CN"/>
              </w:rPr>
              <w:t>占总成绩的30%；期末考试占总成绩的70%。</w:t>
            </w:r>
          </w:p>
        </w:tc>
      </w:tr>
      <w:tr w14:paraId="6C16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4F3C0AAC">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毛泽东思想和中国特色社会主义理论体系概论</w:t>
            </w:r>
          </w:p>
        </w:tc>
        <w:tc>
          <w:tcPr>
            <w:tcW w:w="2985" w:type="dxa"/>
            <w:vAlign w:val="top"/>
          </w:tcPr>
          <w:p w14:paraId="4CEB4545">
            <w:pPr>
              <w:snapToGrid w:val="0"/>
              <w:rPr>
                <w:rFonts w:hint="eastAsia" w:ascii="宋体" w:hAnsi="宋体"/>
                <w:color w:val="000000"/>
                <w:sz w:val="18"/>
                <w:szCs w:val="18"/>
                <w:lang w:val="en-US" w:eastAsia="zh-CN"/>
              </w:rPr>
            </w:pPr>
            <w:r>
              <w:rPr>
                <w:rFonts w:hint="eastAsia" w:ascii="宋体" w:hAnsi="宋体"/>
                <w:b/>
                <w:bCs/>
                <w:color w:val="000000"/>
                <w:sz w:val="18"/>
                <w:szCs w:val="18"/>
                <w:lang w:val="en-US" w:eastAsia="zh-CN"/>
              </w:rPr>
              <w:t>素质目标</w:t>
            </w:r>
            <w:r>
              <w:rPr>
                <w:rFonts w:hint="eastAsia" w:ascii="宋体" w:hAnsi="宋体"/>
                <w:color w:val="000000"/>
                <w:sz w:val="18"/>
                <w:szCs w:val="18"/>
                <w:lang w:val="en-US" w:eastAsia="zh-CN"/>
              </w:rPr>
              <w:t>：</w:t>
            </w:r>
          </w:p>
          <w:p w14:paraId="1A97EE6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引导学生坚定“四个自信”，具备坚定的政治立场、理想信念和敬业、踏实的职业素质，并以自己的实际行动为中国特色社会主义事业和中华民族伟大复兴做贡献。</w:t>
            </w:r>
          </w:p>
          <w:p w14:paraId="45F0B8E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7E3178D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掌握马克思主义中国化各大理论成果的形成背景、主要内容、突出贡献。深刻理解中国共产党为什么能、马克思主义为什么行、中国特色社会主义为什么好。</w:t>
            </w:r>
          </w:p>
          <w:p w14:paraId="3F56D717">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565047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逐步具备运用马克思主义的基本立场、观点和方法来分析、认识和解决实际问题的能力。</w:t>
            </w:r>
          </w:p>
        </w:tc>
        <w:tc>
          <w:tcPr>
            <w:tcW w:w="1920" w:type="dxa"/>
            <w:vAlign w:val="top"/>
          </w:tcPr>
          <w:p w14:paraId="5B77EF4B">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（1）毛泽东思想的主要内容及其历史地位；</w:t>
            </w:r>
          </w:p>
          <w:p w14:paraId="17D02519">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（2）邓小平理论的主要内容、形成及历史地位；</w:t>
            </w:r>
          </w:p>
          <w:p w14:paraId="745AE62C">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（3）“三个代表”重要思想的形成、主要内容及历史地位；</w:t>
            </w:r>
          </w:p>
          <w:p w14:paraId="3C20E7F3">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（4）科学发展观的形成、主要内容及历史地位；</w:t>
            </w:r>
          </w:p>
          <w:p w14:paraId="16E3088F">
            <w:pPr>
              <w:snapToGrid w:val="0"/>
              <w:rPr>
                <w:rFonts w:hint="eastAsia" w:ascii="宋体" w:hAnsi="宋体"/>
                <w:color w:val="000000"/>
                <w:sz w:val="18"/>
                <w:szCs w:val="18"/>
                <w:lang w:val="en-US" w:eastAsia="zh-CN"/>
              </w:rPr>
            </w:pPr>
            <w:r>
              <w:rPr>
                <w:rFonts w:hint="eastAsia" w:ascii="宋体" w:hAnsi="宋体"/>
                <w:color w:val="auto"/>
                <w:sz w:val="18"/>
                <w:szCs w:val="18"/>
                <w:lang w:val="en-US" w:eastAsia="zh-CN"/>
              </w:rPr>
              <w:t>（5）实践教学。</w:t>
            </w:r>
          </w:p>
        </w:tc>
        <w:tc>
          <w:tcPr>
            <w:tcW w:w="2782" w:type="dxa"/>
            <w:vAlign w:val="top"/>
          </w:tcPr>
          <w:p w14:paraId="0EC8946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（1）条件要求：充分运用信息技术与手段优化教学过程与教学管理。</w:t>
            </w:r>
          </w:p>
          <w:p w14:paraId="066F24F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（2）教学方法：融入课程思政，立德树人贯穿课程始终；采用讲授法、问题探究法、头脑风暴法、翻转课堂法等教学方法。</w:t>
            </w:r>
          </w:p>
          <w:p w14:paraId="17C46B3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（3）师资要求：具有相关专业研究生以上学历或讲师以上职称。</w:t>
            </w:r>
          </w:p>
          <w:p w14:paraId="252A854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（4）考核要求：采用“过程考核+终结性考核”的方式评定成绩。平时过程性考核成绩根据考勤、课堂表现情况、线上学习情况等评定，</w:t>
            </w:r>
            <w:r>
              <w:rPr>
                <w:rFonts w:hint="eastAsia" w:ascii="宋体" w:hAnsi="宋体"/>
                <w:color w:val="auto"/>
                <w:sz w:val="18"/>
                <w:szCs w:val="18"/>
                <w:lang w:val="en-US" w:eastAsia="zh-CN"/>
              </w:rPr>
              <w:t>占总成绩的30%；期末考试占总成绩的70%。</w:t>
            </w:r>
          </w:p>
        </w:tc>
      </w:tr>
      <w:tr w14:paraId="0455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093C875C">
            <w:pPr>
              <w:snapToGrid w:val="0"/>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习近平新时代中国特色社会主义思想概论</w:t>
            </w:r>
          </w:p>
        </w:tc>
        <w:tc>
          <w:tcPr>
            <w:tcW w:w="2985" w:type="dxa"/>
            <w:vAlign w:val="top"/>
          </w:tcPr>
          <w:p w14:paraId="11976479">
            <w:pPr>
              <w:snapToGrid w:val="0"/>
              <w:rPr>
                <w:rFonts w:hint="eastAsia" w:ascii="宋体" w:hAnsi="宋体"/>
                <w:color w:val="auto"/>
                <w:sz w:val="18"/>
                <w:szCs w:val="18"/>
                <w:lang w:val="en-US" w:eastAsia="zh-CN"/>
              </w:rPr>
            </w:pPr>
            <w:r>
              <w:rPr>
                <w:rFonts w:hint="eastAsia" w:ascii="宋体" w:hAnsi="宋体"/>
                <w:b/>
                <w:bCs/>
                <w:color w:val="auto"/>
                <w:sz w:val="18"/>
                <w:szCs w:val="18"/>
                <w:lang w:val="en-US" w:eastAsia="zh-CN"/>
              </w:rPr>
              <w:t>素质目标</w:t>
            </w:r>
            <w:r>
              <w:rPr>
                <w:rFonts w:hint="eastAsia" w:ascii="宋体" w:hAnsi="宋体"/>
                <w:color w:val="auto"/>
                <w:sz w:val="18"/>
                <w:szCs w:val="18"/>
                <w:lang w:val="en-US" w:eastAsia="zh-CN"/>
              </w:rPr>
              <w:t>：</w:t>
            </w:r>
          </w:p>
          <w:p w14:paraId="2B0F73C4">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使大学生引导学生坚定“四个自信”，具备坚定的政治立场、理想信念和敬业、踏实的职业素质，并以自己的实际行动为中国特色社会主义事业和中华民族伟大复兴做贡献。</w:t>
            </w:r>
          </w:p>
          <w:p w14:paraId="4C7207B9">
            <w:pPr>
              <w:snapToGrid w:val="0"/>
              <w:rPr>
                <w:rFonts w:hint="eastAsia" w:ascii="宋体" w:hAnsi="宋体"/>
                <w:b/>
                <w:bCs/>
                <w:color w:val="auto"/>
                <w:sz w:val="18"/>
                <w:szCs w:val="18"/>
                <w:lang w:val="en-US" w:eastAsia="zh-CN"/>
              </w:rPr>
            </w:pPr>
            <w:r>
              <w:rPr>
                <w:rFonts w:hint="eastAsia" w:ascii="宋体" w:hAnsi="宋体"/>
                <w:b/>
                <w:bCs/>
                <w:color w:val="auto"/>
                <w:sz w:val="18"/>
                <w:szCs w:val="18"/>
                <w:lang w:val="en-US" w:eastAsia="zh-CN"/>
              </w:rPr>
              <w:t>知识目标：</w:t>
            </w:r>
          </w:p>
          <w:p w14:paraId="465D6CCC">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434D0095">
            <w:pPr>
              <w:snapToGrid w:val="0"/>
              <w:rPr>
                <w:rFonts w:hint="eastAsia" w:ascii="宋体" w:hAnsi="宋体"/>
                <w:b/>
                <w:bCs/>
                <w:color w:val="auto"/>
                <w:sz w:val="18"/>
                <w:szCs w:val="18"/>
                <w:lang w:val="en-US" w:eastAsia="zh-CN"/>
              </w:rPr>
            </w:pPr>
            <w:r>
              <w:rPr>
                <w:rFonts w:hint="eastAsia" w:ascii="宋体" w:hAnsi="宋体"/>
                <w:b/>
                <w:bCs/>
                <w:color w:val="auto"/>
                <w:sz w:val="18"/>
                <w:szCs w:val="18"/>
                <w:lang w:val="en-US" w:eastAsia="zh-CN"/>
              </w:rPr>
              <w:t>能力目标：</w:t>
            </w:r>
          </w:p>
          <w:p w14:paraId="4CC0D677">
            <w:pPr>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帮助学生更加明显的提升运用马克思主义立场、观点和方法认识问题、分析问题和解决问题的能力；增强学生“四个自信”。</w:t>
            </w:r>
          </w:p>
        </w:tc>
        <w:tc>
          <w:tcPr>
            <w:tcW w:w="1920" w:type="dxa"/>
            <w:vAlign w:val="top"/>
          </w:tcPr>
          <w:p w14:paraId="5FC1A42D">
            <w:pPr>
              <w:numPr>
                <w:ilvl w:val="0"/>
                <w:numId w:val="0"/>
              </w:num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（1）新时代坚持和发展中国特色社会主义</w:t>
            </w:r>
          </w:p>
          <w:p w14:paraId="0278BA20">
            <w:pPr>
              <w:numPr>
                <w:ilvl w:val="0"/>
                <w:numId w:val="0"/>
              </w:num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（2）以中国式现代化全面推进中华民族伟大复兴</w:t>
            </w:r>
          </w:p>
          <w:p w14:paraId="1C091F6D">
            <w:pPr>
              <w:numPr>
                <w:ilvl w:val="0"/>
                <w:numId w:val="0"/>
              </w:num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（3）坚持党的全面领导                               </w:t>
            </w:r>
          </w:p>
          <w:p w14:paraId="0475BAA4">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（4）坚持以人民为中心                               </w:t>
            </w:r>
          </w:p>
          <w:p w14:paraId="4222BB73">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（5）全面深化改革开放</w:t>
            </w:r>
            <w:r>
              <w:rPr>
                <w:rFonts w:hint="eastAsia" w:ascii="宋体" w:hAnsi="宋体"/>
                <w:color w:val="auto"/>
                <w:sz w:val="18"/>
                <w:szCs w:val="18"/>
                <w:lang w:val="en-US" w:eastAsia="zh-CN"/>
              </w:rPr>
              <w:tab/>
            </w:r>
            <w:r>
              <w:rPr>
                <w:rFonts w:hint="eastAsia" w:ascii="宋体" w:hAnsi="宋体"/>
                <w:color w:val="auto"/>
                <w:sz w:val="18"/>
                <w:szCs w:val="18"/>
                <w:lang w:val="en-US" w:eastAsia="zh-CN"/>
              </w:rPr>
              <w:t xml:space="preserve">                                  </w:t>
            </w:r>
          </w:p>
          <w:p w14:paraId="593A15AF">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（6）推动高质量发展                      </w:t>
            </w:r>
          </w:p>
          <w:p w14:paraId="55542D23">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（7）社会主义现代化建设的教育、科技、人才战略         </w:t>
            </w:r>
          </w:p>
          <w:p w14:paraId="186791EE">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（8）发展全过程人民民主                              </w:t>
            </w:r>
          </w:p>
          <w:p w14:paraId="6088BA09">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（9）全面依法治国                                    </w:t>
            </w:r>
          </w:p>
          <w:p w14:paraId="48687EA1">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（10）建设社会主义文化强国  </w:t>
            </w:r>
          </w:p>
          <w:p w14:paraId="398F8684">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（11）以保障和改善民生为重点加强社会建设                          </w:t>
            </w:r>
          </w:p>
          <w:p w14:paraId="554E3D46">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（12）建设社会主义生态文明                         </w:t>
            </w:r>
          </w:p>
          <w:p w14:paraId="28D68BAA">
            <w:pPr>
              <w:snapToGrid w:val="0"/>
              <w:rPr>
                <w:rFonts w:hint="default" w:ascii="宋体" w:hAnsi="宋体"/>
                <w:color w:val="auto"/>
                <w:sz w:val="18"/>
                <w:szCs w:val="18"/>
                <w:lang w:val="en-US" w:eastAsia="zh-CN"/>
              </w:rPr>
            </w:pPr>
            <w:r>
              <w:rPr>
                <w:rFonts w:hint="eastAsia" w:ascii="宋体" w:hAnsi="宋体"/>
                <w:color w:val="auto"/>
                <w:sz w:val="18"/>
                <w:szCs w:val="18"/>
                <w:lang w:val="en-US" w:eastAsia="zh-CN"/>
              </w:rPr>
              <w:t>（13）维护和塑造国家安全</w:t>
            </w:r>
          </w:p>
          <w:p w14:paraId="4885610E">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（14）建设巩固国防和强大的人民军队           </w:t>
            </w:r>
          </w:p>
          <w:p w14:paraId="5EEE12E9">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（15）坚持“一国两制”和推进祖国完全统一               </w:t>
            </w:r>
          </w:p>
          <w:p w14:paraId="7FE8E4A9">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（16）中国特色大国外交推动构建人类命运共同体                       </w:t>
            </w:r>
          </w:p>
          <w:p w14:paraId="430C5C97">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（17）全面从严治党    </w:t>
            </w:r>
          </w:p>
          <w:p w14:paraId="3B5BCD2B">
            <w:pPr>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（18）实践教学。</w:t>
            </w:r>
          </w:p>
        </w:tc>
        <w:tc>
          <w:tcPr>
            <w:tcW w:w="2782" w:type="dxa"/>
            <w:vAlign w:val="top"/>
          </w:tcPr>
          <w:p w14:paraId="0DFCA105">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（1）条件要求：充分运用信息技术与手段优化教学过程与教学管理。</w:t>
            </w:r>
          </w:p>
          <w:p w14:paraId="01F8FE1C">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（2）教学方法：融入课程思政，立德树人贯穿课程始终；采用讲授法、问题探究法、头脑风暴法、翻转课堂法等教学方法。</w:t>
            </w:r>
          </w:p>
          <w:p w14:paraId="27E91FC7">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（3）师资要求：具有相关专业研究生以上学历或讲师以上职称。</w:t>
            </w:r>
          </w:p>
          <w:p w14:paraId="131E2C1F">
            <w:pPr>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（4）考核要求：采用“过程考核+终结性考核”的方式评定成绩。平时过程性考核成绩根据考勤、课堂表现情况、线上学习情况等评定，占总成绩的30%；期末考试占总成绩70%。</w:t>
            </w:r>
          </w:p>
        </w:tc>
      </w:tr>
      <w:tr w14:paraId="7237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2504B8A1">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形势与政策</w:t>
            </w:r>
          </w:p>
        </w:tc>
        <w:tc>
          <w:tcPr>
            <w:tcW w:w="2985" w:type="dxa"/>
            <w:vAlign w:val="top"/>
          </w:tcPr>
          <w:p w14:paraId="5741DA7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771614A6">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引导大学生正确认识世界和中国发展大势，正确认识中国特色和国际比较，正确认识时代责任和历史使命，自觉将自身的发展融入中华民族伟大复兴的事业。</w:t>
            </w:r>
          </w:p>
          <w:p w14:paraId="6F00C7D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3BC9FB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651008EC">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301F2B9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具备科学看待国际、国内形势的能力，正确理解党的基本路线、重大方针和政策，正确分析社会关注的热点问题。</w:t>
            </w:r>
          </w:p>
        </w:tc>
        <w:tc>
          <w:tcPr>
            <w:tcW w:w="1920" w:type="dxa"/>
            <w:vAlign w:val="top"/>
          </w:tcPr>
          <w:p w14:paraId="25979D7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（1）全面从严治党形势与政策；</w:t>
            </w:r>
          </w:p>
          <w:p w14:paraId="7F8A949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（2）我国经济社会发展形势与政策；</w:t>
            </w:r>
          </w:p>
          <w:p w14:paraId="118F4E9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（3）港澳台工作形势与政策；</w:t>
            </w:r>
          </w:p>
          <w:p w14:paraId="2D1830D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（4）国际形势与政策</w:t>
            </w:r>
          </w:p>
          <w:p w14:paraId="0BB289E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（每学期教学内容以中宣部、教育部规定的主题为准）。</w:t>
            </w:r>
          </w:p>
          <w:p w14:paraId="160FCFD0">
            <w:pPr>
              <w:snapToGrid w:val="0"/>
              <w:rPr>
                <w:rFonts w:hint="eastAsia" w:ascii="宋体" w:hAnsi="宋体"/>
                <w:color w:val="000000"/>
                <w:sz w:val="18"/>
                <w:szCs w:val="18"/>
                <w:lang w:val="en-US" w:eastAsia="zh-CN"/>
              </w:rPr>
            </w:pPr>
          </w:p>
        </w:tc>
        <w:tc>
          <w:tcPr>
            <w:tcW w:w="2782" w:type="dxa"/>
            <w:vAlign w:val="top"/>
          </w:tcPr>
          <w:p w14:paraId="458FA30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（1）条件要求：授课使用多媒体教学，利用视听媒体和图文并茂的方式演示教学内容。</w:t>
            </w:r>
          </w:p>
          <w:p w14:paraId="7D5B9D6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（2）教学方法：主要采用讲授法、小组讨论学习法等教学方法。</w:t>
            </w:r>
          </w:p>
          <w:p w14:paraId="51764A9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（3）师资要求：担任本课程的主讲教师应具有正确的政治立场，较高的政治素养，较为深厚的政治理论水平和分析能力，同时应具备较丰富的教学经验。</w:t>
            </w:r>
          </w:p>
          <w:p w14:paraId="037C130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（4）考核要求：采用“过程考核+终结性考核”的方式评定成绩。平时过程性考核成绩根据考勤、课堂表现情况、线上教学情况等评定，占总成绩的40%；期末考试占总成绩的60%。</w:t>
            </w:r>
          </w:p>
        </w:tc>
      </w:tr>
      <w:tr w14:paraId="36C3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29595841">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职业</w:t>
            </w:r>
            <w:r>
              <w:rPr>
                <w:rFonts w:hint="eastAsia" w:ascii="宋体" w:hAnsi="宋体"/>
                <w:color w:val="000000"/>
                <w:sz w:val="18"/>
                <w:szCs w:val="18"/>
                <w:lang w:val="en-US" w:eastAsia="zh-Hans"/>
              </w:rPr>
              <w:t>生涯规划</w:t>
            </w:r>
          </w:p>
        </w:tc>
        <w:tc>
          <w:tcPr>
            <w:tcW w:w="2985" w:type="dxa"/>
            <w:vAlign w:val="top"/>
          </w:tcPr>
          <w:p w14:paraId="5D0E1553">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4F493755">
            <w:pPr>
              <w:snapToGrid w:val="0"/>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5D32F1A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FD25BF2">
            <w:pPr>
              <w:keepNext w:val="0"/>
              <w:keepLines w:val="0"/>
              <w:widowControl/>
              <w:suppressLineNumbers w:val="0"/>
              <w:jc w:val="left"/>
            </w:pPr>
            <w:r>
              <w:rPr>
                <w:rFonts w:hint="eastAsia" w:ascii="宋体" w:hAnsi="宋体" w:eastAsia="宋体"/>
                <w:color w:val="000000"/>
                <w:sz w:val="18"/>
                <w:szCs w:val="18"/>
                <w:lang w:val="en-US" w:eastAsia="zh-CN"/>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0F72EAD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6B3262EE">
            <w:pPr>
              <w:keepNext w:val="0"/>
              <w:keepLines w:val="0"/>
              <w:widowControl/>
              <w:suppressLineNumbers w:val="0"/>
              <w:jc w:val="left"/>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389D0689">
            <w:pPr>
              <w:snapToGrid w:val="0"/>
              <w:rPr>
                <w:rFonts w:hint="eastAsia" w:ascii="宋体" w:hAnsi="宋体"/>
                <w:color w:val="000000"/>
                <w:sz w:val="18"/>
                <w:szCs w:val="18"/>
                <w:lang w:val="en-US" w:eastAsia="zh-CN"/>
              </w:rPr>
            </w:pPr>
          </w:p>
        </w:tc>
        <w:tc>
          <w:tcPr>
            <w:tcW w:w="1920" w:type="dxa"/>
            <w:vAlign w:val="top"/>
          </w:tcPr>
          <w:p w14:paraId="304DA1EA">
            <w:pPr>
              <w:numPr>
                <w:ilvl w:val="0"/>
                <w:numId w:val="2"/>
              </w:numPr>
              <w:snapToGrid w:val="0"/>
              <w:rPr>
                <w:rFonts w:hint="eastAsia" w:ascii="宋体" w:hAnsi="宋体"/>
                <w:color w:val="000000"/>
                <w:sz w:val="18"/>
                <w:szCs w:val="18"/>
                <w:lang w:val="en-US" w:eastAsia="zh-Hans"/>
              </w:rPr>
            </w:pPr>
            <w:r>
              <w:rPr>
                <w:rFonts w:hint="eastAsia" w:ascii="宋体" w:hAnsi="宋体"/>
                <w:color w:val="000000"/>
                <w:sz w:val="18"/>
                <w:szCs w:val="18"/>
                <w:lang w:val="en-US" w:eastAsia="zh-Hans"/>
              </w:rPr>
              <w:t>职业生涯规划概述</w:t>
            </w:r>
          </w:p>
          <w:p w14:paraId="42BE2F4C">
            <w:pPr>
              <w:numPr>
                <w:ilvl w:val="0"/>
                <w:numId w:val="2"/>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职业生涯规划的基础—全方位的认知</w:t>
            </w:r>
          </w:p>
          <w:p w14:paraId="556BCABE">
            <w:pPr>
              <w:numPr>
                <w:ilvl w:val="0"/>
                <w:numId w:val="2"/>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职业生涯规划的基础—客观认知环境</w:t>
            </w:r>
          </w:p>
          <w:p w14:paraId="03181A45">
            <w:pPr>
              <w:numPr>
                <w:ilvl w:val="0"/>
                <w:numId w:val="2"/>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职业生涯规划实施—职业目标确立</w:t>
            </w:r>
          </w:p>
          <w:p w14:paraId="0011E175">
            <w:pPr>
              <w:numPr>
                <w:ilvl w:val="0"/>
                <w:numId w:val="2"/>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职业发展助力—职业能力提升</w:t>
            </w:r>
          </w:p>
          <w:p w14:paraId="0B87D2FC">
            <w:pPr>
              <w:numPr>
                <w:ilvl w:val="0"/>
                <w:numId w:val="2"/>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职业生涯规划成果—科学规划人生</w:t>
            </w:r>
          </w:p>
        </w:tc>
        <w:tc>
          <w:tcPr>
            <w:tcW w:w="2782" w:type="dxa"/>
            <w:vAlign w:val="top"/>
          </w:tcPr>
          <w:p w14:paraId="0C733AB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（1）条件要求：利用互联网开发制作视频及PPT等多媒体课件，构建活跃、自主的课程训练平台。</w:t>
            </w:r>
          </w:p>
          <w:p w14:paraId="65038F2E">
            <w:pPr>
              <w:snapToGrid w:val="0"/>
              <w:rPr>
                <w:rFonts w:hint="eastAsia" w:ascii="宋体" w:hAnsi="宋体"/>
                <w:color w:val="000000"/>
                <w:sz w:val="18"/>
                <w:szCs w:val="18"/>
                <w:lang w:val="en-US" w:eastAsia="zh-Hans"/>
              </w:rPr>
            </w:pPr>
            <w:r>
              <w:rPr>
                <w:rFonts w:hint="eastAsia" w:ascii="宋体" w:hAnsi="宋体"/>
                <w:color w:val="000000"/>
                <w:sz w:val="18"/>
                <w:szCs w:val="18"/>
                <w:lang w:val="en-US" w:eastAsia="zh-CN"/>
              </w:rPr>
              <w:t>（2）教学方法：讲授法、角色扮演和案例分析。</w:t>
            </w:r>
            <w:r>
              <w:rPr>
                <w:rFonts w:hint="eastAsia" w:ascii="宋体" w:hAnsi="宋体"/>
                <w:color w:val="000000"/>
                <w:sz w:val="18"/>
                <w:szCs w:val="18"/>
                <w:lang w:val="en-US" w:eastAsia="zh-Hans"/>
              </w:rPr>
              <w:t>突出“实践性”，让学生在亲身参与中</w:t>
            </w:r>
            <w:r>
              <w:rPr>
                <w:rFonts w:hint="eastAsia" w:ascii="宋体" w:hAnsi="宋体"/>
                <w:color w:val="000000"/>
                <w:sz w:val="18"/>
                <w:szCs w:val="18"/>
                <w:lang w:val="en-US" w:eastAsia="zh-CN"/>
              </w:rPr>
              <w:t>明确职业生涯规划</w:t>
            </w:r>
            <w:r>
              <w:rPr>
                <w:rFonts w:hint="eastAsia" w:ascii="宋体" w:hAnsi="宋体"/>
                <w:color w:val="000000"/>
                <w:sz w:val="18"/>
                <w:szCs w:val="18"/>
                <w:lang w:val="en-US" w:eastAsia="zh-Hans"/>
              </w:rPr>
              <w:t>。</w:t>
            </w:r>
          </w:p>
          <w:p w14:paraId="1D08464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（3）师资要求：任课教师应具有扎实的理论和实践基础。</w:t>
            </w:r>
          </w:p>
          <w:p w14:paraId="5E11ED2F">
            <w:pPr>
              <w:keepNext w:val="0"/>
              <w:keepLines w:val="0"/>
              <w:widowControl/>
              <w:suppressLineNumbers w:val="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（4）考核要求：考查</w:t>
            </w:r>
            <w:r>
              <w:rPr>
                <w:rFonts w:hint="eastAsia" w:ascii="宋体" w:hAnsi="宋体" w:eastAsia="宋体"/>
                <w:color w:val="000000"/>
                <w:sz w:val="18"/>
                <w:szCs w:val="18"/>
                <w:lang w:val="en-US" w:eastAsia="zh-CN"/>
              </w:rPr>
              <w:t>大学生职业生涯规划书，分为平时成绩（30%）和期末成绩（70%）两个部分。</w:t>
            </w:r>
          </w:p>
          <w:p w14:paraId="1387B68B">
            <w:pPr>
              <w:snapToGrid w:val="0"/>
              <w:rPr>
                <w:rFonts w:hint="eastAsia" w:ascii="宋体" w:hAnsi="宋体"/>
                <w:color w:val="000000"/>
                <w:sz w:val="18"/>
                <w:szCs w:val="18"/>
                <w:lang w:val="en-US" w:eastAsia="zh-CN"/>
              </w:rPr>
            </w:pPr>
          </w:p>
        </w:tc>
      </w:tr>
      <w:tr w14:paraId="7858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shd w:val="clear"/>
            <w:vAlign w:val="center"/>
          </w:tcPr>
          <w:p w14:paraId="23415381">
            <w:pPr>
              <w:snapToGrid w:val="0"/>
              <w:jc w:val="center"/>
              <w:rPr>
                <w:rFonts w:hint="eastAsia" w:ascii="宋体" w:hAnsi="宋体" w:eastAsia="宋体" w:cs="Times New Roman"/>
                <w:color w:val="000000"/>
                <w:kern w:val="2"/>
                <w:sz w:val="18"/>
                <w:szCs w:val="18"/>
                <w:lang w:val="en-US" w:eastAsia="zh-CN" w:bidi="ar-SA"/>
              </w:rPr>
            </w:pPr>
            <w:r>
              <w:rPr>
                <w:rFonts w:hint="eastAsia" w:ascii="宋体" w:hAnsi="宋体" w:eastAsia="宋体" w:cs="宋体"/>
                <w:b w:val="0"/>
                <w:bCs w:val="0"/>
                <w:sz w:val="18"/>
                <w:szCs w:val="18"/>
                <w:lang w:val="en-US" w:eastAsia="zh-CN"/>
              </w:rPr>
              <w:t>国家安全教育</w:t>
            </w:r>
          </w:p>
        </w:tc>
        <w:tc>
          <w:tcPr>
            <w:tcW w:w="2985" w:type="dxa"/>
            <w:shd w:val="clear"/>
            <w:vAlign w:val="top"/>
          </w:tcPr>
          <w:p w14:paraId="1BCB5DA1">
            <w:pPr>
              <w:snapToGrid w:val="0"/>
              <w:spacing w:line="24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42341726">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通过开</w:t>
            </w:r>
            <w:r>
              <w:rPr>
                <w:rFonts w:hint="eastAsia" w:ascii="宋体" w:hAnsi="宋体" w:eastAsia="宋体" w:cs="宋体"/>
                <w:i w:val="0"/>
                <w:iCs w:val="0"/>
                <w:caps w:val="0"/>
                <w:color w:val="auto"/>
                <w:spacing w:val="0"/>
                <w:sz w:val="18"/>
                <w:szCs w:val="18"/>
                <w:shd w:val="clear" w:fill="FFFFFF"/>
                <w:lang w:val="en-US" w:eastAsia="zh-CN"/>
              </w:rPr>
              <w:t>设</w:t>
            </w:r>
            <w:r>
              <w:rPr>
                <w:rFonts w:hint="eastAsia" w:ascii="宋体" w:hAnsi="宋体" w:eastAsia="宋体" w:cs="宋体"/>
                <w:i w:val="0"/>
                <w:iCs w:val="0"/>
                <w:caps w:val="0"/>
                <w:color w:val="000000"/>
                <w:spacing w:val="0"/>
                <w:sz w:val="18"/>
                <w:szCs w:val="18"/>
                <w:shd w:val="clear" w:fill="FFFFFF"/>
                <w:lang w:val="en-US" w:eastAsia="zh-CN"/>
              </w:rPr>
              <w:t>本课程，引导大学生牢固树立“大安全理念”，充分认识国家安全面临的复杂环境，增强国家安全意识</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eastAsia="zh-CN"/>
              </w:rPr>
              <w:t>全面践行总体国家安全观</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eastAsia="zh-CN"/>
              </w:rPr>
              <w:t>为维护国家长治久安、培养担当民族大任的时代新人奠定基础。</w:t>
            </w:r>
          </w:p>
          <w:p w14:paraId="0E87D0C2">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6C093466">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了解什么是国家安全；了解我国当前面临的国家安全形势；</w:t>
            </w:r>
          </w:p>
          <w:p w14:paraId="3EFA637D">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了解政治安全是国家安全的根本，理解我国政治安全面临的机遇与挑战；</w:t>
            </w:r>
          </w:p>
          <w:p w14:paraId="3CDA17A8">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了解国土安全是国家安全的核心，掌握我国国土安全面临的风险，掌握维护国土安全的基本要求；</w:t>
            </w:r>
          </w:p>
          <w:p w14:paraId="2C69EC6B">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了解军事安全是国家安全的坚强后盾，理解我国军事安全面临的风险与挑战，理解维护军事安全的基本要求；</w:t>
            </w:r>
          </w:p>
          <w:p w14:paraId="4FD1BFBB">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了解经济安全是国家安全的基础，熟悉经济安全的含义，理解逆全球化贸易保护主义带来的巨大挑战；</w:t>
            </w:r>
          </w:p>
          <w:p w14:paraId="5989F392">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6.</w:t>
            </w:r>
            <w:r>
              <w:rPr>
                <w:rFonts w:hint="eastAsia" w:ascii="宋体" w:hAnsi="宋体" w:eastAsia="宋体" w:cs="宋体"/>
                <w:i w:val="0"/>
                <w:iCs w:val="0"/>
                <w:caps w:val="0"/>
                <w:color w:val="000000"/>
                <w:spacing w:val="0"/>
                <w:sz w:val="18"/>
                <w:szCs w:val="18"/>
                <w:shd w:val="clear" w:fill="FFFFFF"/>
              </w:rPr>
              <w:t>了解文化安全是国家安全的灵魂，理解我国处在社会转型期，主流价值观面临的冲击，掌握维护文化安全的基本要求；</w:t>
            </w:r>
          </w:p>
          <w:p w14:paraId="39521E79">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7.</w:t>
            </w:r>
            <w:r>
              <w:rPr>
                <w:rFonts w:hint="eastAsia" w:ascii="宋体" w:hAnsi="宋体" w:eastAsia="宋体" w:cs="宋体"/>
                <w:i w:val="0"/>
                <w:iCs w:val="0"/>
                <w:caps w:val="0"/>
                <w:color w:val="000000"/>
                <w:spacing w:val="0"/>
                <w:sz w:val="18"/>
                <w:szCs w:val="18"/>
                <w:shd w:val="clear" w:fill="FFFFFF"/>
              </w:rPr>
              <w:t>了解社会安全是国家安全的保障，掌握我国社会安全面临的风险与挑战，掌握何谓恐怖主义和恐怖活动；</w:t>
            </w:r>
          </w:p>
          <w:p w14:paraId="604C9BED">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8.</w:t>
            </w:r>
            <w:r>
              <w:rPr>
                <w:rFonts w:hint="eastAsia" w:ascii="宋体" w:hAnsi="宋体" w:eastAsia="宋体" w:cs="宋体"/>
                <w:i w:val="0"/>
                <w:iCs w:val="0"/>
                <w:caps w:val="0"/>
                <w:color w:val="000000"/>
                <w:spacing w:val="0"/>
                <w:sz w:val="18"/>
                <w:szCs w:val="18"/>
                <w:shd w:val="clear" w:fill="FFFFFF"/>
              </w:rPr>
              <w:t>了解科技安全是国家安全的关键，大国重器彰显国家实力。</w:t>
            </w:r>
          </w:p>
          <w:p w14:paraId="172E830E">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61D83FE4">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能够建立总体国家安全观，能够做到国家利益至上，维护国家主权、安全和发展利益，能够维护国家正当权益，绝不牺牲国家核心利益；</w:t>
            </w:r>
          </w:p>
          <w:p w14:paraId="635B2959">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能够树立中国特色社会主义理想信念，增强政治认同，不信谣、不传谣，能够对危害政治安全的违法行进行举报；能够以实际行动维护我国政治安全；</w:t>
            </w:r>
          </w:p>
          <w:p w14:paraId="1E50401F">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能够维护国家的统一，反对分裂，维护国家的领土主权和海洋权益；能够自觉保护军事秘密和军事安全，能够强化忧患意识，坚持底线思维，做好应对严重事态的准备；</w:t>
            </w:r>
          </w:p>
          <w:p w14:paraId="7D42FFD8">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通过树立创新发展理念，聚焦经济发展，增强国家经济竞争；</w:t>
            </w:r>
          </w:p>
          <w:p w14:paraId="0B49F8F8">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通过维护文化安全，能够树立正确的价值观和理想信念，能够自觉抵制文化渗透，增强民族凝聚力；</w:t>
            </w:r>
          </w:p>
          <w:p w14:paraId="6E4300FF">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6.</w:t>
            </w:r>
            <w:r>
              <w:rPr>
                <w:rFonts w:hint="eastAsia" w:ascii="宋体" w:hAnsi="宋体" w:eastAsia="宋体" w:cs="宋体"/>
                <w:i w:val="0"/>
                <w:iCs w:val="0"/>
                <w:caps w:val="0"/>
                <w:color w:val="000000"/>
                <w:spacing w:val="0"/>
                <w:sz w:val="18"/>
                <w:szCs w:val="18"/>
                <w:shd w:val="clear" w:fill="FFFFFF"/>
              </w:rPr>
              <w:t>通过提高创新实践能力，推动科技发展，维护科技安全</w:t>
            </w:r>
            <w:r>
              <w:rPr>
                <w:rFonts w:hint="eastAsia" w:ascii="宋体" w:hAnsi="宋体" w:eastAsia="宋体" w:cs="宋体"/>
                <w:i w:val="0"/>
                <w:iCs w:val="0"/>
                <w:caps w:val="0"/>
                <w:color w:val="000000"/>
                <w:spacing w:val="0"/>
                <w:sz w:val="18"/>
                <w:szCs w:val="18"/>
                <w:shd w:val="clear" w:fill="FFFFFF"/>
                <w:lang w:eastAsia="zh-CN"/>
              </w:rPr>
              <w:t>。</w:t>
            </w:r>
          </w:p>
        </w:tc>
        <w:tc>
          <w:tcPr>
            <w:tcW w:w="1920" w:type="dxa"/>
            <w:shd w:val="clear"/>
            <w:vAlign w:val="top"/>
          </w:tcPr>
          <w:p w14:paraId="11D57305">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总体国家安全</w:t>
            </w:r>
            <w:r>
              <w:rPr>
                <w:rFonts w:hint="eastAsia" w:ascii="宋体" w:hAnsi="宋体" w:eastAsia="宋体" w:cs="宋体"/>
                <w:i w:val="0"/>
                <w:iCs w:val="0"/>
                <w:caps w:val="0"/>
                <w:color w:val="000000"/>
                <w:spacing w:val="0"/>
                <w:sz w:val="18"/>
                <w:szCs w:val="18"/>
                <w:shd w:val="clear" w:fill="FFFFFF"/>
                <w:lang w:val="en-US" w:eastAsia="zh-CN"/>
              </w:rPr>
              <w:t>观</w:t>
            </w:r>
          </w:p>
          <w:p w14:paraId="7DAA838E">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政治安</w:t>
            </w:r>
            <w:r>
              <w:rPr>
                <w:rFonts w:hint="eastAsia" w:ascii="宋体" w:hAnsi="宋体" w:eastAsia="宋体" w:cs="宋体"/>
                <w:i w:val="0"/>
                <w:iCs w:val="0"/>
                <w:caps w:val="0"/>
                <w:color w:val="000000"/>
                <w:spacing w:val="0"/>
                <w:sz w:val="18"/>
                <w:szCs w:val="18"/>
                <w:shd w:val="clear" w:fill="FFFFFF"/>
                <w:lang w:val="en-US" w:eastAsia="zh-CN"/>
              </w:rPr>
              <w:t>全</w:t>
            </w:r>
          </w:p>
          <w:p w14:paraId="6AC387AC">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国土安全</w:t>
            </w:r>
          </w:p>
          <w:p w14:paraId="19A69C33">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军事安全</w:t>
            </w:r>
          </w:p>
          <w:p w14:paraId="7C8C6C62">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经济安全</w:t>
            </w:r>
          </w:p>
          <w:p w14:paraId="0ED9B01D">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6.</w:t>
            </w:r>
            <w:r>
              <w:rPr>
                <w:rFonts w:hint="eastAsia" w:ascii="宋体" w:hAnsi="宋体" w:eastAsia="宋体" w:cs="宋体"/>
                <w:i w:val="0"/>
                <w:iCs w:val="0"/>
                <w:caps w:val="0"/>
                <w:color w:val="000000"/>
                <w:spacing w:val="0"/>
                <w:sz w:val="18"/>
                <w:szCs w:val="18"/>
                <w:shd w:val="clear" w:fill="FFFFFF"/>
              </w:rPr>
              <w:t>文化安全</w:t>
            </w:r>
          </w:p>
          <w:p w14:paraId="69C17A65">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7.</w:t>
            </w:r>
            <w:r>
              <w:rPr>
                <w:rFonts w:hint="eastAsia" w:ascii="宋体" w:hAnsi="宋体" w:eastAsia="宋体" w:cs="宋体"/>
                <w:i w:val="0"/>
                <w:iCs w:val="0"/>
                <w:caps w:val="0"/>
                <w:color w:val="000000"/>
                <w:spacing w:val="0"/>
                <w:sz w:val="18"/>
                <w:szCs w:val="18"/>
                <w:shd w:val="clear" w:fill="FFFFFF"/>
              </w:rPr>
              <w:t>社会安全</w:t>
            </w:r>
          </w:p>
          <w:p w14:paraId="12C41756">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i w:val="0"/>
                <w:iCs w:val="0"/>
                <w:caps w:val="0"/>
                <w:color w:val="000000"/>
                <w:spacing w:val="0"/>
                <w:sz w:val="18"/>
                <w:szCs w:val="18"/>
                <w:shd w:val="clear" w:fill="FFFFFF"/>
                <w:lang w:val="en-US" w:eastAsia="zh-CN"/>
              </w:rPr>
              <w:t>8.</w:t>
            </w:r>
            <w:r>
              <w:rPr>
                <w:rFonts w:hint="eastAsia" w:ascii="宋体" w:hAnsi="宋体" w:eastAsia="宋体" w:cs="宋体"/>
                <w:i w:val="0"/>
                <w:iCs w:val="0"/>
                <w:caps w:val="0"/>
                <w:color w:val="000000"/>
                <w:spacing w:val="0"/>
                <w:sz w:val="18"/>
                <w:szCs w:val="18"/>
                <w:shd w:val="clear" w:fill="FFFFFF"/>
              </w:rPr>
              <w:t>科技安全</w:t>
            </w:r>
          </w:p>
          <w:p w14:paraId="070D9447">
            <w:pPr>
              <w:numPr>
                <w:ilvl w:val="0"/>
                <w:numId w:val="0"/>
              </w:numPr>
              <w:snapToGrid w:val="0"/>
              <w:ind w:left="0" w:leftChars="0" w:firstLine="0" w:firstLineChars="0"/>
              <w:rPr>
                <w:rFonts w:hint="eastAsia" w:ascii="宋体" w:hAnsi="宋体" w:eastAsia="宋体" w:cs="Times New Roman"/>
                <w:color w:val="000000"/>
                <w:kern w:val="2"/>
                <w:sz w:val="18"/>
                <w:szCs w:val="18"/>
                <w:lang w:val="en-US" w:eastAsia="zh-Hans" w:bidi="ar-SA"/>
              </w:rPr>
            </w:pPr>
          </w:p>
        </w:tc>
        <w:tc>
          <w:tcPr>
            <w:tcW w:w="2782" w:type="dxa"/>
            <w:shd w:val="clear"/>
            <w:vAlign w:val="top"/>
          </w:tcPr>
          <w:p w14:paraId="277ACE75">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1.条件要求：在多媒体教室以课堂教学为主，适当使用数字资源开展线上教学；</w:t>
            </w:r>
          </w:p>
          <w:p w14:paraId="3297AC15">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Style w:val="16"/>
                <w:rFonts w:hint="eastAsia" w:ascii="宋体" w:hAnsi="宋体" w:eastAsia="宋体" w:cs="宋体"/>
                <w:b w:val="0"/>
                <w:bCs/>
                <w:i w:val="0"/>
                <w:iCs w:val="0"/>
                <w:caps w:val="0"/>
                <w:color w:val="000000"/>
                <w:spacing w:val="0"/>
                <w:sz w:val="18"/>
                <w:szCs w:val="18"/>
                <w:shd w:val="clear" w:fill="FFFFFF"/>
                <w:lang w:val="en-US" w:eastAsia="zh-CN"/>
              </w:rPr>
            </w:pPr>
            <w:r>
              <w:rPr>
                <w:rFonts w:hint="eastAsia" w:ascii="宋体" w:hAnsi="宋体" w:eastAsia="宋体" w:cs="宋体"/>
                <w:sz w:val="18"/>
                <w:szCs w:val="18"/>
                <w:lang w:val="en-US" w:eastAsia="zh-CN"/>
              </w:rPr>
              <w:t>2</w:t>
            </w:r>
            <w:r>
              <w:rPr>
                <w:rFonts w:hint="eastAsia" w:ascii="宋体" w:hAnsi="宋体" w:eastAsia="宋体" w:cs="宋体"/>
                <w:b w:val="0"/>
                <w:bCs w:val="0"/>
                <w:sz w:val="18"/>
                <w:szCs w:val="18"/>
                <w:lang w:val="en-US" w:eastAsia="zh-CN"/>
              </w:rPr>
              <w:t>.</w:t>
            </w:r>
            <w:r>
              <w:rPr>
                <w:rStyle w:val="16"/>
                <w:rFonts w:hint="eastAsia" w:ascii="宋体" w:hAnsi="宋体" w:eastAsia="宋体" w:cs="宋体"/>
                <w:b w:val="0"/>
                <w:bCs w:val="0"/>
                <w:i w:val="0"/>
                <w:iCs w:val="0"/>
                <w:caps w:val="0"/>
                <w:color w:val="000000"/>
                <w:spacing w:val="0"/>
                <w:sz w:val="18"/>
                <w:szCs w:val="18"/>
                <w:shd w:val="clear" w:fill="FFFFFF"/>
              </w:rPr>
              <w:t>教学方法：</w:t>
            </w:r>
            <w:r>
              <w:rPr>
                <w:rStyle w:val="16"/>
                <w:rFonts w:hint="eastAsia" w:ascii="宋体" w:hAnsi="宋体" w:eastAsia="宋体" w:cs="宋体"/>
                <w:b w:val="0"/>
                <w:bCs/>
                <w:i w:val="0"/>
                <w:iCs w:val="0"/>
                <w:caps w:val="0"/>
                <w:color w:val="000000"/>
                <w:spacing w:val="0"/>
                <w:sz w:val="18"/>
                <w:szCs w:val="18"/>
                <w:shd w:val="clear" w:fill="FFFFFF"/>
                <w:lang w:val="en-US" w:eastAsia="zh-CN"/>
              </w:rPr>
              <w:t>通过案列分析、分组讨论、专题讲座等教学方法有机融入国家安全教育内容；</w:t>
            </w:r>
          </w:p>
          <w:p w14:paraId="669590B0">
            <w:pPr>
              <w:pStyle w:val="1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Style w:val="16"/>
                <w:rFonts w:hint="eastAsia" w:ascii="宋体" w:hAnsi="宋体" w:eastAsia="宋体" w:cs="宋体"/>
                <w:b w:val="0"/>
                <w:bCs/>
                <w:i w:val="0"/>
                <w:iCs w:val="0"/>
                <w:caps w:val="0"/>
                <w:color w:val="000000"/>
                <w:spacing w:val="0"/>
                <w:sz w:val="18"/>
                <w:szCs w:val="18"/>
                <w:shd w:val="clear" w:fill="FFFFFF"/>
                <w:lang w:val="en-US" w:eastAsia="zh-CN"/>
              </w:rPr>
            </w:pPr>
            <w:r>
              <w:rPr>
                <w:rStyle w:val="16"/>
                <w:rFonts w:hint="eastAsia" w:ascii="宋体" w:hAnsi="宋体" w:eastAsia="宋体" w:cs="宋体"/>
                <w:b w:val="0"/>
                <w:bCs/>
                <w:i w:val="0"/>
                <w:iCs w:val="0"/>
                <w:caps w:val="0"/>
                <w:color w:val="000000"/>
                <w:spacing w:val="0"/>
                <w:sz w:val="18"/>
                <w:szCs w:val="18"/>
                <w:shd w:val="clear" w:fill="FFFFFF"/>
                <w:lang w:val="en-US" w:eastAsia="zh-CN"/>
              </w:rPr>
              <w:t>3.师资要求：担任本课程教师应该具备扎实的专业知识，能够理论联系实际、深入浅出的教学。</w:t>
            </w:r>
          </w:p>
          <w:p w14:paraId="7B3D86A4">
            <w:pPr>
              <w:snapToGrid w:val="0"/>
              <w:rPr>
                <w:rFonts w:hint="eastAsia" w:ascii="宋体" w:hAnsi="宋体" w:eastAsia="宋体" w:cs="Times New Roman"/>
                <w:color w:val="000000"/>
                <w:kern w:val="2"/>
                <w:sz w:val="18"/>
                <w:szCs w:val="18"/>
                <w:lang w:val="en-US" w:eastAsia="zh-CN" w:bidi="ar-SA"/>
              </w:rPr>
            </w:pPr>
          </w:p>
        </w:tc>
      </w:tr>
      <w:tr w14:paraId="7F45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CC6CB5B">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就业指导</w:t>
            </w:r>
          </w:p>
        </w:tc>
        <w:tc>
          <w:tcPr>
            <w:tcW w:w="2985" w:type="dxa"/>
            <w:vAlign w:val="top"/>
          </w:tcPr>
          <w:p w14:paraId="0C511613">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6453FFB9">
            <w:pPr>
              <w:keepNext w:val="0"/>
              <w:keepLines w:val="0"/>
              <w:widowControl/>
              <w:suppressLineNumbers w:val="0"/>
              <w:jc w:val="left"/>
            </w:pPr>
            <w:r>
              <w:rPr>
                <w:rFonts w:hint="eastAsia" w:ascii="宋体" w:hAnsi="宋体" w:eastAsia="宋体"/>
                <w:color w:val="000000"/>
                <w:sz w:val="18"/>
                <w:szCs w:val="18"/>
                <w:lang w:val="en-US" w:eastAsia="zh-CN"/>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ascii="宋体" w:hAnsi="宋体" w:eastAsia="宋体"/>
                <w:color w:val="000000"/>
                <w:sz w:val="18"/>
                <w:szCs w:val="18"/>
                <w:lang w:val="en-US" w:eastAsia="zh-Hans"/>
              </w:rPr>
              <w:t>。</w:t>
            </w:r>
          </w:p>
          <w:p w14:paraId="5B9DE13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39B59A68">
            <w:pPr>
              <w:keepNext w:val="0"/>
              <w:keepLines w:val="0"/>
              <w:widowControl/>
              <w:suppressLineNumbers w:val="0"/>
              <w:jc w:val="left"/>
              <w:rPr>
                <w:rFonts w:hint="eastAsia" w:ascii="宋体" w:hAnsi="宋体" w:eastAsia="宋体"/>
                <w:color w:val="000000"/>
                <w:sz w:val="18"/>
                <w:szCs w:val="18"/>
                <w:lang w:val="en-US" w:eastAsia="zh-Hans"/>
              </w:rPr>
            </w:pPr>
            <w:r>
              <w:rPr>
                <w:rFonts w:hint="default" w:ascii="宋体" w:hAnsi="宋体" w:eastAsia="宋体"/>
                <w:color w:val="000000"/>
                <w:sz w:val="18"/>
                <w:szCs w:val="18"/>
                <w:lang w:val="en-US" w:eastAsia="zh-CN"/>
              </w:rPr>
              <w:t>了解落实求职就业计划</w:t>
            </w:r>
            <w:r>
              <w:rPr>
                <w:rFonts w:hint="eastAsia" w:ascii="宋体" w:hAnsi="宋体"/>
                <w:color w:val="000000"/>
                <w:sz w:val="18"/>
                <w:szCs w:val="18"/>
                <w:lang w:val="en-US" w:eastAsia="zh-Hans"/>
              </w:rPr>
              <w:t>；</w:t>
            </w:r>
            <w:r>
              <w:rPr>
                <w:rFonts w:hint="eastAsia" w:ascii="宋体" w:hAnsi="宋体"/>
                <w:color w:val="000000"/>
                <w:sz w:val="18"/>
                <w:szCs w:val="18"/>
                <w:lang w:val="en-US" w:eastAsia="zh-CN"/>
              </w:rPr>
              <w:t>了解我分析的基本内容与要求、职业分析与职业定位的基本方法；了解相关的就业政策和就业协议签订的注意事项；理解大学生就业指导的意义，掌握求职面试的基本技巧与简历制作的基本方法；</w:t>
            </w:r>
          </w:p>
          <w:p w14:paraId="01DB4AF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20EA088C">
            <w:pPr>
              <w:keepNext w:val="0"/>
              <w:keepLines w:val="0"/>
              <w:widowControl/>
              <w:suppressLineNumbers w:val="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p w14:paraId="5753EA1B">
            <w:pPr>
              <w:snapToGrid w:val="0"/>
              <w:rPr>
                <w:rFonts w:hint="eastAsia" w:ascii="宋体" w:hAnsi="宋体"/>
                <w:color w:val="000000"/>
                <w:sz w:val="18"/>
                <w:szCs w:val="18"/>
                <w:lang w:val="en-US" w:eastAsia="zh-CN"/>
              </w:rPr>
            </w:pPr>
          </w:p>
        </w:tc>
        <w:tc>
          <w:tcPr>
            <w:tcW w:w="1920" w:type="dxa"/>
            <w:vAlign w:val="top"/>
          </w:tcPr>
          <w:p w14:paraId="1FB7D82B">
            <w:pPr>
              <w:snapToGrid w:val="0"/>
              <w:rPr>
                <w:rFonts w:hint="eastAsia" w:ascii="宋体" w:hAnsi="宋体" w:eastAsia="宋体"/>
                <w:color w:val="000000"/>
                <w:sz w:val="18"/>
                <w:szCs w:val="18"/>
                <w:lang w:val="en-US" w:eastAsia="zh-CN"/>
              </w:rPr>
            </w:pPr>
            <w:r>
              <w:rPr>
                <w:rFonts w:hint="default" w:ascii="宋体" w:hAnsi="宋体" w:eastAsia="宋体"/>
                <w:color w:val="000000"/>
                <w:sz w:val="18"/>
                <w:szCs w:val="18"/>
                <w:lang w:val="en-US" w:eastAsia="zh-CN"/>
              </w:rPr>
              <w:t> </w:t>
            </w: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1</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求职就业前期准备</w:t>
            </w:r>
          </w:p>
          <w:p w14:paraId="5BA6CECD">
            <w:pPr>
              <w:snapToGrid w:val="0"/>
              <w:rPr>
                <w:rFonts w:hint="default" w:ascii="宋体" w:hAnsi="宋体" w:eastAsia="宋体"/>
                <w:color w:val="000000"/>
                <w:sz w:val="18"/>
                <w:szCs w:val="18"/>
                <w:lang w:val="en-US" w:eastAsia="zh-CN"/>
              </w:rPr>
            </w:pPr>
            <w:r>
              <w:rPr>
                <w:rFonts w:hint="default" w:ascii="宋体" w:hAnsi="宋体" w:eastAsia="宋体"/>
                <w:color w:val="000000"/>
                <w:sz w:val="18"/>
                <w:szCs w:val="18"/>
                <w:lang w:val="en-US" w:eastAsia="zh-CN"/>
              </w:rPr>
              <w:t> </w:t>
            </w: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2</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大学生求职陷阱的防范</w:t>
            </w:r>
          </w:p>
          <w:p w14:paraId="21D09A0E">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3</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求职应聘</w:t>
            </w:r>
          </w:p>
          <w:p w14:paraId="38A0FD2E">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4</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求职面试</w:t>
            </w:r>
          </w:p>
          <w:p w14:paraId="6F623982">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CN"/>
              </w:rPr>
              <w:t>5</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就业角色转换与职业适应</w:t>
            </w:r>
          </w:p>
          <w:p w14:paraId="438756ED">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6</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大学生就业权益保护</w:t>
            </w:r>
          </w:p>
          <w:p w14:paraId="3C0FF1CC">
            <w:pPr>
              <w:snapToGrid w:val="0"/>
              <w:rPr>
                <w:rFonts w:hint="eastAsia" w:ascii="宋体" w:hAnsi="宋体"/>
                <w:color w:val="000000"/>
                <w:sz w:val="18"/>
                <w:szCs w:val="18"/>
                <w:lang w:val="en-US" w:eastAsia="zh-CN"/>
              </w:rPr>
            </w:pPr>
          </w:p>
        </w:tc>
        <w:tc>
          <w:tcPr>
            <w:tcW w:w="2782" w:type="dxa"/>
            <w:vAlign w:val="top"/>
          </w:tcPr>
          <w:p w14:paraId="37B193D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w:t>
            </w:r>
          </w:p>
          <w:p w14:paraId="064EA9B8">
            <w:pPr>
              <w:keepNext w:val="0"/>
              <w:keepLines w:val="0"/>
              <w:widowControl/>
              <w:suppressLineNumbers w:val="0"/>
              <w:jc w:val="left"/>
            </w:pPr>
            <w:r>
              <w:rPr>
                <w:rFonts w:hint="eastAsia" w:ascii="宋体" w:hAnsi="宋体"/>
                <w:color w:val="000000"/>
                <w:sz w:val="18"/>
                <w:szCs w:val="18"/>
                <w:lang w:val="en-US" w:eastAsia="zh-CN"/>
              </w:rPr>
              <w:t>（2）教学方法：课程以学生为中心</w:t>
            </w:r>
            <w:r>
              <w:rPr>
                <w:rFonts w:hint="eastAsia" w:ascii="宋体" w:hAnsi="宋体" w:eastAsia="宋体"/>
                <w:color w:val="000000"/>
                <w:sz w:val="18"/>
                <w:szCs w:val="18"/>
                <w:lang w:val="en-US" w:eastAsia="zh-CN"/>
              </w:rPr>
              <w:t>，讲授知识</w:t>
            </w:r>
            <w:r>
              <w:rPr>
                <w:rFonts w:hint="default" w:ascii="宋体" w:hAnsi="宋体" w:eastAsia="宋体"/>
                <w:color w:val="000000"/>
                <w:sz w:val="18"/>
                <w:szCs w:val="18"/>
                <w:lang w:val="en-US" w:eastAsia="zh-CN"/>
              </w:rPr>
              <w:t>、案例分析相结合。</w:t>
            </w:r>
          </w:p>
          <w:p w14:paraId="62B97D6B">
            <w:pPr>
              <w:keepNext w:val="0"/>
              <w:keepLines w:val="0"/>
              <w:widowControl/>
              <w:suppressLineNumbers w:val="0"/>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。采用课堂讲授、实践教学、网络教学、</w:t>
            </w:r>
            <w:r>
              <w:rPr>
                <w:rFonts w:hint="eastAsia" w:ascii="宋体" w:hAnsi="宋体" w:eastAsia="宋体"/>
                <w:color w:val="000000"/>
                <w:sz w:val="18"/>
                <w:szCs w:val="18"/>
                <w:lang w:val="en-US" w:eastAsia="zh-CN"/>
              </w:rPr>
              <w:t>自主学习等方式。</w:t>
            </w:r>
            <w:r>
              <w:rPr>
                <w:rFonts w:hint="default" w:ascii="宋体" w:hAnsi="宋体" w:eastAsia="宋体"/>
                <w:color w:val="000000"/>
                <w:sz w:val="18"/>
                <w:szCs w:val="18"/>
                <w:lang w:val="en-US" w:eastAsia="zh-CN"/>
              </w:rPr>
              <w:t>在教学中要采用知识讲授与实际案例分析相结合、知识吸纳与求职实践相结合的教学手段，使学生不仅学到了知识，还基本具备了将知识与实际需求相结合的能力。</w:t>
            </w:r>
          </w:p>
          <w:p w14:paraId="1D725BA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（3）师资要求：任课教师应具有扎实的理论和实践基础。</w:t>
            </w:r>
          </w:p>
          <w:p w14:paraId="58D6001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（4）考核要求：考查，平时成绩30%+作业考核70%。</w:t>
            </w:r>
          </w:p>
        </w:tc>
      </w:tr>
      <w:tr w14:paraId="2AF9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5E7F0E0C">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创新创业教育</w:t>
            </w:r>
          </w:p>
        </w:tc>
        <w:tc>
          <w:tcPr>
            <w:tcW w:w="2985" w:type="dxa"/>
            <w:vAlign w:val="top"/>
          </w:tcPr>
          <w:p w14:paraId="4F4F18FF">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2323A5B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具备主动创新意识，树立科学的创新创业观；激发学生的创新创业意识，提高学生的社会责任感和创业精神。</w:t>
            </w:r>
          </w:p>
          <w:p w14:paraId="25409DE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857FD0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熟悉创新思维提升的基本方法；了解创业的基本概念、基本原理和基本方法；了解创业的产生与演变过程；掌握商业模式的设计。</w:t>
            </w:r>
          </w:p>
          <w:p w14:paraId="17C5899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A474D3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能独立进行项目的策划，并写出项目策划书；能对项目做出可行性报告和分析；具备市场分析与产品营销策略的能力；具备财务分析与风险预测的能力。</w:t>
            </w:r>
          </w:p>
        </w:tc>
        <w:tc>
          <w:tcPr>
            <w:tcW w:w="1920" w:type="dxa"/>
            <w:vAlign w:val="top"/>
          </w:tcPr>
          <w:p w14:paraId="6C4EC78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（1）创意、创新与创业关系；</w:t>
            </w:r>
          </w:p>
          <w:p w14:paraId="624792B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（2）创新意识培养；</w:t>
            </w:r>
          </w:p>
          <w:p w14:paraId="6387A46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（3）创新思维的开发；</w:t>
            </w:r>
          </w:p>
          <w:p w14:paraId="7B14EE3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（4）创新能力与创业素质提升；</w:t>
            </w:r>
          </w:p>
          <w:p w14:paraId="47D166D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（5）创业机会的识别；</w:t>
            </w:r>
          </w:p>
          <w:p w14:paraId="70F4527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（6）风险评估与创业计划制定；</w:t>
            </w:r>
          </w:p>
          <w:p w14:paraId="79FB721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（7）创业资源的整合；</w:t>
            </w:r>
          </w:p>
          <w:p w14:paraId="24751D8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（8）新创企业的设立与经营。</w:t>
            </w:r>
          </w:p>
        </w:tc>
        <w:tc>
          <w:tcPr>
            <w:tcW w:w="2782" w:type="dxa"/>
            <w:vAlign w:val="top"/>
          </w:tcPr>
          <w:p w14:paraId="432F1FC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w:t>
            </w:r>
          </w:p>
          <w:p w14:paraId="2B9DDA5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（2）教学方法：课程以学生为中心，立德树人为根本将课程思政融入主题教学中，实施全过程育人。采用课堂讲授、实践教学、网络教学、自主学习等方式。</w:t>
            </w:r>
          </w:p>
          <w:p w14:paraId="20B496B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（3）师资要求：任课教师应具有扎实的理论和实践基础。</w:t>
            </w:r>
          </w:p>
          <w:p w14:paraId="691A086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（4）考核要求：考查，平时成绩30%+作业考核70%。</w:t>
            </w:r>
          </w:p>
        </w:tc>
      </w:tr>
      <w:tr w14:paraId="3651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0D15A9C7">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德育</w:t>
            </w:r>
          </w:p>
        </w:tc>
        <w:tc>
          <w:tcPr>
            <w:tcW w:w="2985" w:type="dxa"/>
            <w:vAlign w:val="top"/>
          </w:tcPr>
          <w:p w14:paraId="1ED84CD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71F6A1E5">
            <w:pPr>
              <w:snapToGrid w:val="0"/>
              <w:rPr>
                <w:rFonts w:hint="default" w:ascii="宋体" w:hAnsi="宋体"/>
                <w:color w:val="000000"/>
                <w:sz w:val="18"/>
                <w:szCs w:val="18"/>
                <w:lang w:val="en-US" w:eastAsia="zh-CN"/>
              </w:rPr>
            </w:pPr>
            <w:r>
              <w:rPr>
                <w:rFonts w:hint="eastAsia" w:ascii="宋体" w:hAnsi="宋体"/>
                <w:color w:val="000000"/>
                <w:sz w:val="18"/>
                <w:szCs w:val="18"/>
                <w:lang w:val="en-US" w:eastAsia="zh-CN"/>
              </w:rPr>
              <w:t>形成健全的人格，确立积极进取、乐观向上的人生态度和自尊、自信、合作、诚信的心理品质。增强民主和法制观念，养成遵纪守法的意识，树立正确的价值观和道德观。</w:t>
            </w:r>
          </w:p>
          <w:p w14:paraId="3AB6794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6426D57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了解职业、职业道德的含义和特点，学会正确处理竞争和合作的关系，了解基本的法律法规，熟悉基本道德规范。</w:t>
            </w:r>
          </w:p>
          <w:p w14:paraId="0818566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2A68E5C8">
            <w:pPr>
              <w:snapToGrid w:val="0"/>
              <w:rPr>
                <w:rFonts w:hint="eastAsia" w:ascii="宋体" w:hAnsi="宋体"/>
                <w:color w:val="000000"/>
                <w:sz w:val="18"/>
                <w:szCs w:val="18"/>
                <w:lang w:val="en-US" w:eastAsia="zh-CN"/>
              </w:rPr>
            </w:pPr>
            <w:r>
              <w:rPr>
                <w:rFonts w:hint="default" w:ascii="宋体" w:hAnsi="宋体"/>
                <w:color w:val="000000"/>
                <w:sz w:val="18"/>
                <w:szCs w:val="18"/>
                <w:lang w:val="en-US" w:eastAsia="zh-CN"/>
              </w:rPr>
              <w:t>能正确地认识与处理个人、集体和国家的关系，正确认识人生价值，树立全心全意为人民服务的思想和科学的人生观。</w:t>
            </w:r>
          </w:p>
        </w:tc>
        <w:tc>
          <w:tcPr>
            <w:tcW w:w="1920" w:type="dxa"/>
            <w:vAlign w:val="top"/>
          </w:tcPr>
          <w:p w14:paraId="0A23A0C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德育教育针对学生在校期间在学习、生活、交友等活动进行正面引导，让学生树立正确的人生观、价值观、世界观。</w:t>
            </w:r>
          </w:p>
          <w:p w14:paraId="10616ACF">
            <w:pPr>
              <w:snapToGrid w:val="0"/>
              <w:rPr>
                <w:rFonts w:hint="eastAsia" w:ascii="宋体" w:hAnsi="宋体"/>
                <w:color w:val="000000"/>
                <w:sz w:val="18"/>
                <w:szCs w:val="18"/>
                <w:lang w:val="en-US" w:eastAsia="zh-CN"/>
              </w:rPr>
            </w:pPr>
          </w:p>
        </w:tc>
        <w:tc>
          <w:tcPr>
            <w:tcW w:w="2782" w:type="dxa"/>
            <w:vAlign w:val="top"/>
          </w:tcPr>
          <w:p w14:paraId="20DD130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（1）条件要求：建立弹性化的可增减分德育学分评分规则，使学生在自我审视、自我调整、自我激励过程中，增强自信心和责任感；</w:t>
            </w:r>
          </w:p>
          <w:p w14:paraId="64D43B6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（2）教学方法：本课程以实践教育为主，通过学生访谈、班会、心得交流为辅的方式实施。重点考察学生在校期间日常行为规范。</w:t>
            </w:r>
          </w:p>
          <w:p w14:paraId="5DEC0F45">
            <w:pPr>
              <w:snapToGrid w:val="0"/>
              <w:rPr>
                <w:rFonts w:hint="default" w:ascii="宋体" w:hAnsi="宋体"/>
                <w:color w:val="000000"/>
                <w:sz w:val="18"/>
                <w:szCs w:val="18"/>
                <w:lang w:val="en-US" w:eastAsia="zh-CN"/>
              </w:rPr>
            </w:pPr>
            <w:r>
              <w:rPr>
                <w:rFonts w:hint="eastAsia" w:ascii="宋体" w:hAnsi="宋体"/>
                <w:color w:val="000000"/>
                <w:sz w:val="18"/>
                <w:szCs w:val="18"/>
                <w:lang w:val="en-US" w:eastAsia="zh-CN"/>
              </w:rPr>
              <w:t>（3）师资要求：本课程教师由辅导员教师担任，需为中共党员，爱岗敬业、乐于奉献。能依据学生学情，有效组织教学活动。</w:t>
            </w:r>
          </w:p>
          <w:p w14:paraId="0443B5B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（4）考核方法：过程考核，自评占20%、互评占30%、他评占50%。</w:t>
            </w:r>
          </w:p>
        </w:tc>
      </w:tr>
      <w:tr w14:paraId="30B0B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30ADFCC6">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体育与健康</w:t>
            </w:r>
          </w:p>
        </w:tc>
        <w:tc>
          <w:tcPr>
            <w:tcW w:w="2985" w:type="dxa"/>
            <w:vAlign w:val="top"/>
          </w:tcPr>
          <w:p w14:paraId="3B1AE6E2">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60A2204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身体健康目标：能测试和评价体质健康状况，掌握有效提高身体素质、全面发展体能的知识与方法；能合理地选择人体需要的健康营养食品；养成良好的行为习惯，形成健康的生活方式；具有健康的体魄。</w:t>
            </w:r>
          </w:p>
          <w:p w14:paraId="6DB3BAF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(2) 心理健康目标：根据自己的能力设置体育学习目标；自觉通过体育活动改善心理状态；克服心理障碍，养成积极乐观的生活态度；运用适宜的方法调节自己的情绪；在运动中体验运动的乐趣和成功的感觉。                                     </w:t>
            </w:r>
            <w:r>
              <w:rPr>
                <w:rFonts w:hint="eastAsia" w:ascii="宋体" w:hAnsi="宋体"/>
                <w:b/>
                <w:bCs/>
                <w:color w:val="000000"/>
                <w:sz w:val="18"/>
                <w:szCs w:val="18"/>
                <w:lang w:val="en-US" w:eastAsia="zh-CN"/>
              </w:rPr>
              <w:t>知识目标：</w:t>
            </w:r>
          </w:p>
          <w:p w14:paraId="348A0E2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 运动参与目标：积极参与各种体育活动并形成自觉锻炼的习惯，基本形成终身体育的意识，具有一定的体育文化欣赏能力。</w:t>
            </w:r>
          </w:p>
          <w:p w14:paraId="03F1C75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 运动技能目标：熟练掌握两项以上健身运动的基本方法和技能；能科学地进行体育锻炼，提高自己的运动能力；掌握常见运动创伤的处置方法。</w:t>
            </w:r>
          </w:p>
          <w:p w14:paraId="349EA3BF">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52446D5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 社会适应目标：表现出良好的体育道德和团队合作意识；正确处理竞争与合作的关系。</w:t>
            </w:r>
          </w:p>
          <w:p w14:paraId="261022B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(2)思想教育目标：培养学生组织纪律性，培养学生团结协作、互相帮助的团队精神、培养学生吃苦耐劳，克服困难的能力。</w:t>
            </w:r>
          </w:p>
        </w:tc>
        <w:tc>
          <w:tcPr>
            <w:tcW w:w="1920" w:type="dxa"/>
            <w:vAlign w:val="top"/>
          </w:tcPr>
          <w:p w14:paraId="4940832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理论内容包括：体育基本理论与专项理论</w:t>
            </w:r>
          </w:p>
          <w:p w14:paraId="0C5D42E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（1）基本理论主要内容是：奥林匹克精神、体育锻炼对人体的影响、运动保健、体育与健康、卫生与健康、养身与保健、常见运动损伤的处理。</w:t>
            </w:r>
          </w:p>
          <w:p w14:paraId="484CF2D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（2）专项理论主要内容：各类运动项目特点、场地、规则、裁判法的介绍，专项体育运动赏。</w:t>
            </w:r>
          </w:p>
          <w:p w14:paraId="304E464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实践内容：</w:t>
            </w:r>
          </w:p>
          <w:p w14:paraId="06E3064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3E1345B2">
            <w:pPr>
              <w:snapToGrid w:val="0"/>
              <w:rPr>
                <w:rFonts w:hint="eastAsia" w:ascii="宋体" w:hAnsi="宋体"/>
                <w:color w:val="000000"/>
                <w:sz w:val="18"/>
                <w:szCs w:val="18"/>
                <w:lang w:val="en-US" w:eastAsia="zh-CN"/>
              </w:rPr>
            </w:pPr>
          </w:p>
        </w:tc>
        <w:tc>
          <w:tcPr>
            <w:tcW w:w="2782" w:type="dxa"/>
            <w:vAlign w:val="top"/>
          </w:tcPr>
          <w:p w14:paraId="545222C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1434188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（2）教学方法：主要采用讲授法、示范法、小组讨论学习法等教学方法。</w:t>
            </w:r>
          </w:p>
          <w:p w14:paraId="2DB0419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（3）师资要求：担任本课程的主讲教师应具有正确的政治立场，较高的体育素养，较为深厚的体育理论水平和分析能力，同时应具备较丰富的教学经验。</w:t>
            </w:r>
          </w:p>
          <w:p w14:paraId="250F067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（4）考核要求：采用“平时考核+期末考核”的方式评定成绩。平时过程性考核成绩根据考勤、课堂表现情况、线上教学情况等评定，占总成绩的50%；期末考试占总成绩的50%。</w:t>
            </w:r>
          </w:p>
        </w:tc>
      </w:tr>
      <w:tr w14:paraId="3528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2542424C">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中华优秀传统文化</w:t>
            </w:r>
          </w:p>
        </w:tc>
        <w:tc>
          <w:tcPr>
            <w:tcW w:w="2985" w:type="dxa"/>
            <w:vAlign w:val="top"/>
          </w:tcPr>
          <w:p w14:paraId="70770C1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34B7EF8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提升学生思想品德修养，养成良好个性和健全人格；培育人文精神，提升文化品位和审美能力；培养学生爱国主义情操、历史使命感和社会主义文化自信。</w:t>
            </w:r>
          </w:p>
          <w:p w14:paraId="38544D88">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1FC0FAF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了解传统文化渊源和文化本质；了解传统文化的历史发展、基本精神、代表人物、人文环境、文化内容。</w:t>
            </w:r>
          </w:p>
          <w:p w14:paraId="1D1D82C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090896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帮助学生掌握认识和理解中华传统文化的优秀要素和传统思维方式，能吸收传统文化的智慧，能感悟传统文化的精神内涵，能掌握学习传统文化的科学方法，养成学习传统文化的良好习惯。</w:t>
            </w:r>
          </w:p>
        </w:tc>
        <w:tc>
          <w:tcPr>
            <w:tcW w:w="1920" w:type="dxa"/>
            <w:vAlign w:val="top"/>
          </w:tcPr>
          <w:p w14:paraId="3E2A7B5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（1）中华传统哲学思想；</w:t>
            </w:r>
          </w:p>
          <w:p w14:paraId="7E27A97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（2）中华传统美德；</w:t>
            </w:r>
          </w:p>
          <w:p w14:paraId="2DF4D5C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（3）中华传统宗教思想；</w:t>
            </w:r>
          </w:p>
          <w:p w14:paraId="079D98F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（4）语言文字；</w:t>
            </w:r>
          </w:p>
          <w:p w14:paraId="3EEFFE5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（5）文学典籍。</w:t>
            </w:r>
          </w:p>
        </w:tc>
        <w:tc>
          <w:tcPr>
            <w:tcW w:w="2782" w:type="dxa"/>
            <w:vAlign w:val="top"/>
          </w:tcPr>
          <w:p w14:paraId="33E2C14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w:t>
            </w:r>
          </w:p>
          <w:p w14:paraId="6116D16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（2）教学方法：融入课程思政，立德树人贯穿课程始终；引入案例，采用项目教学方法进行教学；在线开放课程进行辅助实施。</w:t>
            </w:r>
          </w:p>
          <w:p w14:paraId="16E5200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（3）师资要求：担任本课程的教师应该具备扎实的专业知识，能够理论联系实际，深入浅出的教学。</w:t>
            </w:r>
          </w:p>
          <w:p w14:paraId="5D50F5E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45D6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2960E49C">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大学语文</w:t>
            </w:r>
          </w:p>
        </w:tc>
        <w:tc>
          <w:tcPr>
            <w:tcW w:w="2985" w:type="dxa"/>
            <w:vAlign w:val="top"/>
          </w:tcPr>
          <w:p w14:paraId="565D89E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5D5A4C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288B934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418A975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掌握普通话语音知识、诗歌朗诵技巧。理解演讲中眼神、表情、态势语言所表达的意义及情感。掌握演讲稿的写作方法及辩论演讲的技巧。掌握求职口才的技巧，行业口才的原则、方法、技巧及作用。</w:t>
            </w:r>
          </w:p>
          <w:p w14:paraId="65EC047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33F97F7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1920" w:type="dxa"/>
            <w:vAlign w:val="top"/>
          </w:tcPr>
          <w:p w14:paraId="6C08643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（1）演讲与口才理论；</w:t>
            </w:r>
          </w:p>
          <w:p w14:paraId="63EA4FD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（2）演讲稿的写作；</w:t>
            </w:r>
          </w:p>
          <w:p w14:paraId="2B981B1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（3）演讲应用技巧；</w:t>
            </w:r>
          </w:p>
          <w:p w14:paraId="139CCEE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（4）体态语言；</w:t>
            </w:r>
          </w:p>
          <w:p w14:paraId="74E373C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（5）口才训练技巧；</w:t>
            </w:r>
          </w:p>
          <w:p w14:paraId="5BDD6B1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（6）行业口才论述；</w:t>
            </w:r>
          </w:p>
          <w:p w14:paraId="419485F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（7）求职口才（模拟面试）；</w:t>
            </w:r>
          </w:p>
          <w:p w14:paraId="54EA2B0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（8）导游口才（校园导游模拟）、主持人口才（观摩分析）、营销、公关、管理及谈判口才（案例分析及情景模拟）。</w:t>
            </w:r>
          </w:p>
          <w:p w14:paraId="5A1ADF5F">
            <w:pPr>
              <w:snapToGrid w:val="0"/>
              <w:rPr>
                <w:rFonts w:hint="eastAsia" w:ascii="宋体" w:hAnsi="宋体"/>
                <w:color w:val="000000"/>
                <w:sz w:val="18"/>
                <w:szCs w:val="18"/>
                <w:lang w:val="en-US" w:eastAsia="zh-CN"/>
              </w:rPr>
            </w:pPr>
          </w:p>
        </w:tc>
        <w:tc>
          <w:tcPr>
            <w:tcW w:w="2782" w:type="dxa"/>
            <w:vAlign w:val="top"/>
          </w:tcPr>
          <w:p w14:paraId="6E0A10F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w:t>
            </w:r>
          </w:p>
          <w:p w14:paraId="28863F8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（2）教学方法：融入课程思政，立德树人贯穿课程始终；引入案例，采用项目教学方法进行教学；在线开放课程进行辅助实施。</w:t>
            </w:r>
          </w:p>
          <w:p w14:paraId="636A70D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（3）师资要求：担任本课程的教师应该具备扎实的专业知识，能够理论联系实际，深入浅出的教学。</w:t>
            </w:r>
          </w:p>
          <w:p w14:paraId="64D5735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54C8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9205324">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实用英语</w:t>
            </w:r>
          </w:p>
        </w:tc>
        <w:tc>
          <w:tcPr>
            <w:tcW w:w="2985" w:type="dxa"/>
            <w:vAlign w:val="top"/>
          </w:tcPr>
          <w:p w14:paraId="02EB0D7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82004B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具有传承中华优秀文化的意识、跨文化交际能力以及国际化意识，增强文化自信；培养学生具备良好的社会文化素质；培养学生热爱所从事的职业，具备较高的职业道德素养。</w:t>
            </w:r>
          </w:p>
          <w:p w14:paraId="50AB2602">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6433AC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认知3400个英语单词,掌握基本的英语语法规则，在听、说、读、写、译中能正确运用所学语法知识；掌握常用英语口语表达用语。</w:t>
            </w:r>
            <w:r>
              <w:rPr>
                <w:rFonts w:hint="eastAsia" w:ascii="宋体" w:hAnsi="宋体"/>
                <w:color w:val="000000"/>
                <w:sz w:val="18"/>
                <w:szCs w:val="18"/>
                <w:lang w:val="en-US" w:eastAsia="zh-CN"/>
              </w:rPr>
              <w:br w:type="textWrapping"/>
            </w:r>
            <w:r>
              <w:rPr>
                <w:rFonts w:hint="eastAsia" w:ascii="宋体" w:hAnsi="宋体"/>
                <w:b/>
                <w:bCs/>
                <w:color w:val="000000"/>
                <w:sz w:val="18"/>
                <w:szCs w:val="18"/>
                <w:lang w:val="en-US" w:eastAsia="zh-CN"/>
              </w:rPr>
              <w:t>能力目标：</w:t>
            </w:r>
          </w:p>
          <w:p w14:paraId="5851E2D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能听懂日常和职场相关主题的对话；能用英语进行日常和涉外活动交流；能读懂一般题材和未来职场相关的简单英文资料，并借助词典进行一般题材文章互译；能撰写简短的英语应用文。</w:t>
            </w:r>
          </w:p>
        </w:tc>
        <w:tc>
          <w:tcPr>
            <w:tcW w:w="1920" w:type="dxa"/>
            <w:vAlign w:val="top"/>
          </w:tcPr>
          <w:p w14:paraId="651A410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（1）寒暄问候；</w:t>
            </w:r>
          </w:p>
          <w:p w14:paraId="62B9F18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（2）致谢道歉；</w:t>
            </w:r>
          </w:p>
          <w:p w14:paraId="0011D69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（3）兴趣爱好；</w:t>
            </w:r>
          </w:p>
          <w:p w14:paraId="70ABC7D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（4）美食文化；</w:t>
            </w:r>
          </w:p>
          <w:p w14:paraId="636F94A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（5）天气气候；</w:t>
            </w:r>
          </w:p>
          <w:p w14:paraId="4A534B0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（6）节日庆祝；</w:t>
            </w:r>
          </w:p>
          <w:p w14:paraId="752BCB6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（7）饮食健康。</w:t>
            </w:r>
          </w:p>
        </w:tc>
        <w:tc>
          <w:tcPr>
            <w:tcW w:w="2782" w:type="dxa"/>
            <w:vAlign w:val="top"/>
          </w:tcPr>
          <w:p w14:paraId="03DD763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（1）条件要求：授课使用多媒体教学，教师尽量用英语组织教学，形成良好的听、说、读、写、译环境。</w:t>
            </w:r>
          </w:p>
          <w:p w14:paraId="69E899A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5B10C07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（3）师资要求：担任本课程的教师应具有研究生以上学历或讲师以上职称。</w:t>
            </w:r>
            <w:r>
              <w:rPr>
                <w:rFonts w:hint="eastAsia" w:ascii="宋体" w:hAnsi="宋体"/>
                <w:color w:val="000000"/>
                <w:sz w:val="18"/>
                <w:szCs w:val="18"/>
                <w:lang w:val="en-US" w:eastAsia="zh-CN"/>
              </w:rPr>
              <w:br w:type="textWrapping"/>
            </w:r>
            <w:r>
              <w:rPr>
                <w:rFonts w:hint="eastAsia" w:ascii="宋体" w:hAnsi="宋体"/>
                <w:color w:val="000000"/>
                <w:sz w:val="18"/>
                <w:szCs w:val="18"/>
                <w:lang w:val="en-US" w:eastAsia="zh-CN"/>
              </w:rPr>
              <w:t>（4）考核要求：通过过程性考核和终结性考核相结合的方式，检测学习效果。平时过程性考核成绩根据考勤、课堂表现情况、线上教学情况等评定，占总成绩的50%；期末考试占总成绩的50%。</w:t>
            </w:r>
          </w:p>
        </w:tc>
      </w:tr>
      <w:tr w14:paraId="19BC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0ED7A66F">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应用数学</w:t>
            </w:r>
          </w:p>
        </w:tc>
        <w:tc>
          <w:tcPr>
            <w:tcW w:w="2985" w:type="dxa"/>
            <w:vAlign w:val="top"/>
          </w:tcPr>
          <w:p w14:paraId="66E81B1B">
            <w:pPr>
              <w:snapToGrid w:val="0"/>
              <w:rPr>
                <w:rFonts w:hint="eastAsia" w:ascii="宋体" w:hAnsi="宋体"/>
                <w:color w:val="000000"/>
                <w:sz w:val="18"/>
                <w:szCs w:val="18"/>
                <w:lang w:val="en-US" w:eastAsia="zh-CN"/>
              </w:rPr>
            </w:pPr>
            <w:r>
              <w:rPr>
                <w:rFonts w:hint="eastAsia" w:ascii="宋体" w:hAnsi="宋体"/>
                <w:b/>
                <w:bCs/>
                <w:color w:val="000000"/>
                <w:sz w:val="18"/>
                <w:szCs w:val="18"/>
                <w:lang w:val="en-US" w:eastAsia="zh-CN"/>
              </w:rPr>
              <w:t>素质目标：</w:t>
            </w:r>
          </w:p>
          <w:p w14:paraId="68D9684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5F60ACC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56B3F2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掌握函数、极限与连续的基本知识和思想方法；掌握导数与微分的概念、运算及简单应用；掌握积分及简单应用。</w:t>
            </w:r>
          </w:p>
          <w:p w14:paraId="74413FC2">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3EB4808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1920" w:type="dxa"/>
            <w:vAlign w:val="top"/>
          </w:tcPr>
          <w:p w14:paraId="196F384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（1）函数；</w:t>
            </w:r>
          </w:p>
          <w:p w14:paraId="21FE3DB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（2）极限与连续性；</w:t>
            </w:r>
          </w:p>
          <w:p w14:paraId="6DE2E85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（3）导数与微分；</w:t>
            </w:r>
          </w:p>
          <w:p w14:paraId="564FCA8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（4）中值定理与导数应用；</w:t>
            </w:r>
          </w:p>
          <w:p w14:paraId="41F3832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（5）不定积分、定积分。</w:t>
            </w:r>
          </w:p>
        </w:tc>
        <w:tc>
          <w:tcPr>
            <w:tcW w:w="2782" w:type="dxa"/>
            <w:vAlign w:val="top"/>
          </w:tcPr>
          <w:p w14:paraId="22692A2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w:t>
            </w:r>
          </w:p>
          <w:p w14:paraId="59B0465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（2）教学方法：融入课程思政，立德树人贯穿课程始终；主要采用翻转教学法、探究教学法、任务驱动和小组合作学习法等教学方法。</w:t>
            </w:r>
          </w:p>
          <w:p w14:paraId="2D44F6F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（3）师资要求：担任本课程的教师应该具备扎实的专业知识，能够理论联系实际，深入浅出的教学。</w:t>
            </w:r>
          </w:p>
          <w:p w14:paraId="386CE93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763D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39473412">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信息技术</w:t>
            </w:r>
          </w:p>
        </w:tc>
        <w:tc>
          <w:tcPr>
            <w:tcW w:w="2985" w:type="dxa"/>
            <w:vAlign w:val="top"/>
          </w:tcPr>
          <w:p w14:paraId="2B811CDF">
            <w:pPr>
              <w:snapToGrid w:val="0"/>
              <w:rPr>
                <w:rFonts w:hint="eastAsia" w:ascii="宋体" w:hAnsi="宋体"/>
                <w:color w:val="000000"/>
                <w:sz w:val="18"/>
                <w:szCs w:val="18"/>
                <w:lang w:val="en-US" w:eastAsia="zh-CN"/>
              </w:rPr>
            </w:pPr>
            <w:r>
              <w:rPr>
                <w:rFonts w:hint="eastAsia" w:ascii="宋体" w:hAnsi="宋体"/>
                <w:b/>
                <w:bCs/>
                <w:color w:val="000000"/>
                <w:sz w:val="18"/>
                <w:szCs w:val="18"/>
                <w:lang w:val="en-US" w:eastAsia="zh-CN"/>
              </w:rPr>
              <w:t>素质目标：</w:t>
            </w:r>
          </w:p>
          <w:p w14:paraId="3B84AA2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培养学生计算机专业素质及网络安全素质；具备信息意识和团结协作意识。</w:t>
            </w:r>
          </w:p>
          <w:p w14:paraId="7C1569E7">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43631F0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了解计算机及网络基础知识；了解计算机系统的组成和各部分的功能；了解操作系统的基本功能和作用，掌握Windows的基本操作和应用。</w:t>
            </w:r>
          </w:p>
          <w:p w14:paraId="48CF59C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42002F5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1920" w:type="dxa"/>
            <w:vAlign w:val="top"/>
          </w:tcPr>
          <w:p w14:paraId="545FEC4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（1）计算机基本应用；</w:t>
            </w:r>
          </w:p>
          <w:p w14:paraId="79E9C96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（2）Word 文档制作；</w:t>
            </w:r>
          </w:p>
          <w:p w14:paraId="106434F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（3）Word 长文档制作；</w:t>
            </w:r>
          </w:p>
          <w:p w14:paraId="73F805D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（4）Excel 表格处理；</w:t>
            </w:r>
          </w:p>
          <w:p w14:paraId="090F784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（5）Excel 高级图表；</w:t>
            </w:r>
          </w:p>
          <w:p w14:paraId="5403A86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（6）数据统计分析；</w:t>
            </w:r>
          </w:p>
          <w:p w14:paraId="6D76CB9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（7）PowerPoint 演示文稿。</w:t>
            </w:r>
          </w:p>
        </w:tc>
        <w:tc>
          <w:tcPr>
            <w:tcW w:w="2782" w:type="dxa"/>
            <w:vAlign w:val="top"/>
          </w:tcPr>
          <w:p w14:paraId="5815502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（1）教学条件：授课主要在计算机房进行，多媒体投影清晰；有网络在线资源，能进行线上教学。</w:t>
            </w:r>
          </w:p>
          <w:p w14:paraId="29CC369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（2）教学方法：融入课程思政，立德树人贯穿课程始终；采用任务驱动式的教学方式，以项目教学为载体，边讲边练。。</w:t>
            </w:r>
          </w:p>
          <w:p w14:paraId="46041F5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（3）师资要求：计算机相关专业本科及以上学历背景，能够理论联系实际，深入浅出的教学。</w:t>
            </w:r>
          </w:p>
          <w:p w14:paraId="27C812A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552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C0B2B22">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心理健康教育</w:t>
            </w:r>
          </w:p>
        </w:tc>
        <w:tc>
          <w:tcPr>
            <w:tcW w:w="2985" w:type="dxa"/>
            <w:vAlign w:val="top"/>
          </w:tcPr>
          <w:p w14:paraId="427D3D5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33BED2A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培养学生良好的心理素质和积极乐观的生活态度；培育理性平和、积极向上的健康心态。</w:t>
            </w:r>
          </w:p>
          <w:p w14:paraId="5A64B14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56A6D81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通过学习本课程，使学生树立心理保健意识，认识心理活动的规律和自身特点，掌握心理调适方法，学会化解心理困扰。</w:t>
            </w:r>
          </w:p>
          <w:p w14:paraId="4A2E5BBF">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3368F06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具有自我意识，正确认识自己，悦纳自我，增强适应能力、压力管理能力、学习能力、人际交往能力等。</w:t>
            </w:r>
          </w:p>
          <w:p w14:paraId="7CBE4863">
            <w:pPr>
              <w:snapToGrid w:val="0"/>
              <w:rPr>
                <w:rFonts w:hint="eastAsia" w:ascii="宋体" w:hAnsi="宋体"/>
                <w:color w:val="000000"/>
                <w:sz w:val="18"/>
                <w:szCs w:val="18"/>
                <w:lang w:val="en-US" w:eastAsia="zh-CN"/>
              </w:rPr>
            </w:pPr>
          </w:p>
        </w:tc>
        <w:tc>
          <w:tcPr>
            <w:tcW w:w="1920" w:type="dxa"/>
            <w:vAlign w:val="top"/>
          </w:tcPr>
          <w:p w14:paraId="36597A0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（1）心理健康教育概述；</w:t>
            </w:r>
          </w:p>
          <w:p w14:paraId="2DDC2AC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（2）大学适应及发展；</w:t>
            </w:r>
          </w:p>
          <w:p w14:paraId="0F3D1E8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（3）学会学习；</w:t>
            </w:r>
          </w:p>
          <w:p w14:paraId="548B377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（4）人际交往与恋爱；</w:t>
            </w:r>
          </w:p>
          <w:p w14:paraId="1A4F940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（5）情绪调控与压力管理；</w:t>
            </w:r>
          </w:p>
          <w:p w14:paraId="6055AEF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（6）感受生命活力。</w:t>
            </w:r>
          </w:p>
        </w:tc>
        <w:tc>
          <w:tcPr>
            <w:tcW w:w="2782" w:type="dxa"/>
            <w:vAlign w:val="top"/>
          </w:tcPr>
          <w:p w14:paraId="0882670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（1）教学条件：授课主要在多媒体教室进行，多媒体投影清晰；有网络在线资源，能进行线上教学；有心理咨询室。</w:t>
            </w:r>
          </w:p>
          <w:p w14:paraId="63C75B0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（2）教学方法：融入课程思政，立德树人贯穿课程始终；引入案例，采用项目教学方法进行教学；在线开放课程进行辅助实施。</w:t>
            </w:r>
          </w:p>
          <w:p w14:paraId="42289E1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（3）师资要求：心理学专业或教育学专业，有较强的教学能力，掌握一定的信息技术。</w:t>
            </w:r>
          </w:p>
          <w:p w14:paraId="03202F8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742B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7E69968B">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国歌诵唱</w:t>
            </w:r>
          </w:p>
        </w:tc>
        <w:tc>
          <w:tcPr>
            <w:tcW w:w="2985" w:type="dxa"/>
            <w:vAlign w:val="top"/>
          </w:tcPr>
          <w:p w14:paraId="7B77C617">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00E4BB01">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能在国歌的演唱活动中，用歌声去感受和表达对祖国的热爱之情。</w:t>
            </w:r>
          </w:p>
          <w:p w14:paraId="39EE9378">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6938764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了解国歌创作的背景及词曲作家，知道生活中运用国歌的场合以及相关礼节。</w:t>
            </w:r>
          </w:p>
          <w:p w14:paraId="1D554A93">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3EFB38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能够用自然、坚定的声音演唱国歌，完整默写国歌歌词。</w:t>
            </w:r>
          </w:p>
        </w:tc>
        <w:tc>
          <w:tcPr>
            <w:tcW w:w="1920" w:type="dxa"/>
            <w:vAlign w:val="top"/>
          </w:tcPr>
          <w:p w14:paraId="21DDFA5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（1）国歌诵唱；</w:t>
            </w:r>
          </w:p>
          <w:p w14:paraId="2FCED45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（2）歌词默写。</w:t>
            </w:r>
          </w:p>
        </w:tc>
        <w:tc>
          <w:tcPr>
            <w:tcW w:w="2782" w:type="dxa"/>
            <w:vAlign w:val="top"/>
          </w:tcPr>
          <w:p w14:paraId="1E3DBA6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（1）条件要求：多媒体教室或语音室。</w:t>
            </w:r>
          </w:p>
          <w:p w14:paraId="6DB4950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（2）教学方法：聆听法、小组合作法。</w:t>
            </w:r>
          </w:p>
          <w:p w14:paraId="49A225A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（3）师资要求：授课教师必须系统的学习过音乐课程，有一定的乐理和声乐基础。</w:t>
            </w:r>
          </w:p>
          <w:p w14:paraId="0BD1DEE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（4）考核方法：歌词默写成绩占30%，歌唱成绩占70%。</w:t>
            </w:r>
          </w:p>
        </w:tc>
      </w:tr>
      <w:tr w14:paraId="11C6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81F1EE2">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劳动教育</w:t>
            </w:r>
          </w:p>
        </w:tc>
        <w:tc>
          <w:tcPr>
            <w:tcW w:w="2985" w:type="dxa"/>
            <w:vAlign w:val="top"/>
          </w:tcPr>
          <w:p w14:paraId="47CAF65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31C6E88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树立正确的劳动观念，养成良好的劳动习惯，使学生理解劳动，尊重劳动，尊重普通劳动者，培养学生的劳动精神、劳模精神、工匠精神。</w:t>
            </w:r>
          </w:p>
          <w:p w14:paraId="565B31A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71C2439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明劳动之理；系统地了解劳动的本质规定、劳动的创造价值、劳动的普遍意义、劳动对于实现人的全面发展的重要作用。</w:t>
            </w:r>
          </w:p>
          <w:p w14:paraId="18638A08">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3FFF5F6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具有必备的劳动能力；正确使用常见劳动工具，增强体力、智力和创造力，具备完成一定劳动任务所需要的设计、操作能力及团队合作能力。</w:t>
            </w:r>
          </w:p>
        </w:tc>
        <w:tc>
          <w:tcPr>
            <w:tcW w:w="1920" w:type="dxa"/>
            <w:vAlign w:val="top"/>
          </w:tcPr>
          <w:p w14:paraId="0CF93F0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（1）马克思主义劳动观教育；</w:t>
            </w:r>
          </w:p>
          <w:p w14:paraId="6A089EA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（2）劳动安全教育；</w:t>
            </w:r>
          </w:p>
          <w:p w14:paraId="22D7B82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（3）日常生活劳动、生产劳动和服务型劳动实践；</w:t>
            </w:r>
          </w:p>
          <w:p w14:paraId="5597BE9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（4）劳动精神；</w:t>
            </w:r>
          </w:p>
          <w:p w14:paraId="3228D80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（5）劳模精神；</w:t>
            </w:r>
          </w:p>
          <w:p w14:paraId="558A84C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（6）工匠精神。</w:t>
            </w:r>
          </w:p>
        </w:tc>
        <w:tc>
          <w:tcPr>
            <w:tcW w:w="2782" w:type="dxa"/>
            <w:vAlign w:val="top"/>
          </w:tcPr>
          <w:p w14:paraId="642A1EC0">
            <w:pPr>
              <w:snapToGrid w:val="0"/>
              <w:rPr>
                <w:rFonts w:hint="default" w:ascii="宋体" w:hAnsi="宋体"/>
                <w:color w:val="000000"/>
                <w:sz w:val="18"/>
                <w:szCs w:val="18"/>
                <w:lang w:val="en-US" w:eastAsia="zh-CN"/>
              </w:rPr>
            </w:pPr>
            <w:r>
              <w:rPr>
                <w:rFonts w:hint="eastAsia" w:ascii="宋体" w:hAnsi="宋体"/>
                <w:color w:val="000000"/>
                <w:sz w:val="18"/>
                <w:szCs w:val="18"/>
                <w:lang w:val="en-US" w:eastAsia="zh-CN"/>
              </w:rPr>
              <w:t>（1）条件要求：坚持“知行合一”的教育理念，由劳育指导老师进行劳动岗位分配和劳动安全、劳模精神等教育；部门指导老师负责劳动技能操作及岗位职责教育。具备农场、校园环境、工厂实习基地等劳动场所。</w:t>
            </w:r>
          </w:p>
          <w:p w14:paraId="28C55ED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（2）师资要求：专兼职、跨学科配备师资。</w:t>
            </w:r>
          </w:p>
          <w:p w14:paraId="1A9AE21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（3）教学方法：课程以学生为中心，立德树人为根本将课程思政融入主题教学中，实施全过程育人。可采用任务驱动法、小组合作学习法、角色扮演法等教学方法。</w:t>
            </w:r>
          </w:p>
          <w:p w14:paraId="4844327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（4）考核要求：本课程为考查课程，采取形成性考核+终结性考核各占50%权重比的形式，进行考核评价。</w:t>
            </w:r>
          </w:p>
        </w:tc>
      </w:tr>
      <w:tr w14:paraId="57E9E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shd w:val="clear"/>
            <w:vAlign w:val="center"/>
          </w:tcPr>
          <w:p w14:paraId="3BCEC66A">
            <w:pPr>
              <w:snapToGrid w:val="0"/>
              <w:jc w:val="center"/>
              <w:rPr>
                <w:rFonts w:hint="eastAsia" w:ascii="宋体" w:hAnsi="宋体" w:eastAsia="宋体" w:cs="Times New Roman"/>
                <w:color w:val="000000"/>
                <w:kern w:val="2"/>
                <w:sz w:val="18"/>
                <w:szCs w:val="18"/>
                <w:lang w:val="en-US" w:eastAsia="zh-CN" w:bidi="ar-SA"/>
              </w:rPr>
            </w:pPr>
            <w:r>
              <w:rPr>
                <w:rFonts w:hint="eastAsia"/>
                <w:sz w:val="18"/>
                <w:szCs w:val="18"/>
                <w:lang w:val="en-US" w:eastAsia="zh-CN"/>
              </w:rPr>
              <w:t>音乐鉴赏</w:t>
            </w:r>
          </w:p>
        </w:tc>
        <w:tc>
          <w:tcPr>
            <w:tcW w:w="2985" w:type="dxa"/>
            <w:shd w:val="clear"/>
            <w:vAlign w:val="top"/>
          </w:tcPr>
          <w:p w14:paraId="5C8D332D">
            <w:pPr>
              <w:keepNext w:val="0"/>
              <w:keepLines w:val="0"/>
              <w:pageBreakBefore w:val="0"/>
              <w:widowControl w:val="0"/>
              <w:kinsoku/>
              <w:wordWrap/>
              <w:overflowPunct/>
              <w:topLinePunct w:val="0"/>
              <w:autoSpaceDE w:val="0"/>
              <w:autoSpaceDN/>
              <w:bidi w:val="0"/>
              <w:adjustRightInd/>
              <w:snapToGrid/>
              <w:jc w:val="left"/>
              <w:textAlignment w:val="auto"/>
              <w:rPr>
                <w:rFonts w:hint="eastAsia"/>
                <w:sz w:val="18"/>
                <w:szCs w:val="18"/>
                <w:lang w:val="en-US" w:eastAsia="zh-CN"/>
              </w:rPr>
            </w:pPr>
            <w:r>
              <w:rPr>
                <w:rFonts w:hint="eastAsia"/>
                <w:b/>
                <w:bCs/>
                <w:sz w:val="18"/>
                <w:szCs w:val="18"/>
                <w:lang w:val="en-US" w:eastAsia="zh-CN"/>
              </w:rPr>
              <w:t>素质目标</w:t>
            </w:r>
            <w:r>
              <w:rPr>
                <w:rFonts w:hint="eastAsia"/>
                <w:sz w:val="18"/>
                <w:szCs w:val="18"/>
                <w:lang w:val="en-US" w:eastAsia="zh-CN"/>
              </w:rPr>
              <w:t>：</w:t>
            </w:r>
          </w:p>
          <w:p w14:paraId="307EC7BD">
            <w:pPr>
              <w:keepNext w:val="0"/>
              <w:keepLines w:val="0"/>
              <w:pageBreakBefore w:val="0"/>
              <w:widowControl w:val="0"/>
              <w:kinsoku/>
              <w:wordWrap/>
              <w:overflowPunct/>
              <w:topLinePunct w:val="0"/>
              <w:autoSpaceDE w:val="0"/>
              <w:autoSpaceDN/>
              <w:bidi w:val="0"/>
              <w:adjustRightInd/>
              <w:snapToGrid/>
              <w:jc w:val="left"/>
              <w:textAlignment w:val="auto"/>
              <w:rPr>
                <w:rFonts w:hint="eastAsia"/>
                <w:sz w:val="18"/>
                <w:szCs w:val="18"/>
                <w:lang w:val="en-US" w:eastAsia="zh-CN"/>
              </w:rPr>
            </w:pPr>
            <w:r>
              <w:rPr>
                <w:rFonts w:hint="eastAsia"/>
                <w:sz w:val="18"/>
                <w:szCs w:val="18"/>
                <w:lang w:val="en-US" w:eastAsia="zh-CN"/>
              </w:rPr>
              <w:t>通过音乐作品的鉴赏和学习，全面提升学生的审美素养、文化视野、人文精神、创新与实践能力以及情感与价值观等多个方面的素质。</w:t>
            </w:r>
          </w:p>
          <w:p w14:paraId="57F77CC0">
            <w:pPr>
              <w:keepNext w:val="0"/>
              <w:keepLines w:val="0"/>
              <w:pageBreakBefore w:val="0"/>
              <w:widowControl w:val="0"/>
              <w:kinsoku/>
              <w:wordWrap/>
              <w:overflowPunct/>
              <w:topLinePunct w:val="0"/>
              <w:autoSpaceDE w:val="0"/>
              <w:autoSpaceDN/>
              <w:bidi w:val="0"/>
              <w:adjustRightInd/>
              <w:snapToGrid/>
              <w:jc w:val="left"/>
              <w:textAlignment w:val="auto"/>
              <w:rPr>
                <w:rFonts w:hint="eastAsia"/>
                <w:b/>
                <w:bCs/>
                <w:sz w:val="18"/>
                <w:szCs w:val="18"/>
                <w:lang w:val="en-US" w:eastAsia="zh-CN"/>
              </w:rPr>
            </w:pPr>
            <w:r>
              <w:rPr>
                <w:rFonts w:hint="eastAsia"/>
                <w:b/>
                <w:bCs/>
                <w:sz w:val="18"/>
                <w:szCs w:val="18"/>
                <w:lang w:val="en-US" w:eastAsia="zh-CN"/>
              </w:rPr>
              <w:t>知识目标：</w:t>
            </w:r>
          </w:p>
          <w:p w14:paraId="6156681B">
            <w:pPr>
              <w:keepNext w:val="0"/>
              <w:keepLines w:val="0"/>
              <w:pageBreakBefore w:val="0"/>
              <w:widowControl w:val="0"/>
              <w:kinsoku/>
              <w:wordWrap/>
              <w:overflowPunct/>
              <w:topLinePunct w:val="0"/>
              <w:autoSpaceDE w:val="0"/>
              <w:autoSpaceDN/>
              <w:bidi w:val="0"/>
              <w:adjustRightInd/>
              <w:snapToGrid/>
              <w:jc w:val="left"/>
              <w:textAlignment w:val="auto"/>
              <w:rPr>
                <w:rFonts w:hint="eastAsia"/>
                <w:sz w:val="18"/>
                <w:szCs w:val="18"/>
                <w:lang w:val="en-US" w:eastAsia="zh-CN"/>
              </w:rPr>
            </w:pPr>
            <w:r>
              <w:rPr>
                <w:sz w:val="18"/>
                <w:szCs w:val="18"/>
              </w:rPr>
              <w:t>通过系统的学习和训练，使学生掌握音乐鉴赏的基本方法和音乐基础知识，了解音乐的分类与体裁、历史与文</w:t>
            </w:r>
            <w:r>
              <w:rPr>
                <w:rFonts w:hint="default"/>
                <w:sz w:val="18"/>
                <w:szCs w:val="18"/>
              </w:rPr>
              <w:t>化背景，熟悉中外优秀音乐作品，为提升音乐鉴赏能力和审美素养打下坚实的基础。</w:t>
            </w:r>
          </w:p>
          <w:p w14:paraId="748E9762">
            <w:pPr>
              <w:snapToGrid w:val="0"/>
              <w:rPr>
                <w:rFonts w:hint="eastAsia"/>
                <w:b/>
                <w:bCs/>
                <w:sz w:val="18"/>
                <w:szCs w:val="18"/>
                <w:lang w:val="en-US" w:eastAsia="zh-CN"/>
              </w:rPr>
            </w:pPr>
            <w:r>
              <w:rPr>
                <w:rFonts w:hint="eastAsia"/>
                <w:b/>
                <w:bCs/>
                <w:sz w:val="18"/>
                <w:szCs w:val="18"/>
                <w:lang w:val="en-US" w:eastAsia="zh-CN"/>
              </w:rPr>
              <w:t>能力目标：</w:t>
            </w:r>
          </w:p>
          <w:p w14:paraId="211C7A71">
            <w:pPr>
              <w:snapToGrid w:val="0"/>
              <w:rPr>
                <w:rFonts w:hint="eastAsia" w:ascii="宋体" w:hAnsi="宋体" w:eastAsia="宋体" w:cs="Times New Roman"/>
                <w:color w:val="000000"/>
                <w:kern w:val="2"/>
                <w:sz w:val="18"/>
                <w:szCs w:val="18"/>
                <w:lang w:val="en-US" w:eastAsia="zh-CN" w:bidi="ar-SA"/>
              </w:rPr>
            </w:pPr>
            <w:r>
              <w:rPr>
                <w:sz w:val="18"/>
                <w:szCs w:val="18"/>
              </w:rPr>
              <w:t>通过多种方式培养学生的音乐鉴赏与分析能力、音乐感知与想象能力、音乐表现与创作能力、跨文化交流能力以及自我完善与终身学习能力，为学生的全面发展奠定坚实的基础。</w:t>
            </w:r>
          </w:p>
        </w:tc>
        <w:tc>
          <w:tcPr>
            <w:tcW w:w="1920" w:type="dxa"/>
            <w:shd w:val="clear"/>
            <w:vAlign w:val="top"/>
          </w:tcPr>
          <w:p w14:paraId="17BFE40F">
            <w:pPr>
              <w:keepNext w:val="0"/>
              <w:keepLines w:val="0"/>
              <w:pageBreakBefore w:val="0"/>
              <w:widowControl w:val="0"/>
              <w:kinsoku/>
              <w:wordWrap/>
              <w:overflowPunct/>
              <w:topLinePunct w:val="0"/>
              <w:autoSpaceDE w:val="0"/>
              <w:autoSpaceDN/>
              <w:bidi w:val="0"/>
              <w:adjustRightInd/>
              <w:snapToGrid/>
              <w:ind w:left="0" w:leftChars="0" w:firstLine="0" w:firstLineChars="0"/>
              <w:jc w:val="left"/>
              <w:textAlignment w:val="auto"/>
              <w:rPr>
                <w:b/>
                <w:bCs/>
                <w:sz w:val="18"/>
                <w:szCs w:val="18"/>
              </w:rPr>
            </w:pPr>
            <w:r>
              <w:rPr>
                <w:rFonts w:hint="eastAsia"/>
                <w:b/>
                <w:bCs/>
                <w:sz w:val="18"/>
                <w:szCs w:val="18"/>
                <w:lang w:val="en-US" w:eastAsia="zh-CN"/>
              </w:rPr>
              <w:t>1</w:t>
            </w:r>
            <w:r>
              <w:rPr>
                <w:rFonts w:hint="default"/>
                <w:b/>
                <w:bCs/>
                <w:sz w:val="18"/>
                <w:szCs w:val="18"/>
              </w:rPr>
              <w:t>、音乐基础知识</w:t>
            </w:r>
          </w:p>
          <w:p w14:paraId="54E80088">
            <w:pPr>
              <w:keepNext w:val="0"/>
              <w:keepLines w:val="0"/>
              <w:pageBreakBefore w:val="0"/>
              <w:widowControl w:val="0"/>
              <w:kinsoku/>
              <w:wordWrap/>
              <w:overflowPunct/>
              <w:topLinePunct w:val="0"/>
              <w:autoSpaceDE w:val="0"/>
              <w:autoSpaceDN/>
              <w:bidi w:val="0"/>
              <w:adjustRightInd/>
              <w:snapToGrid/>
              <w:jc w:val="left"/>
              <w:textAlignment w:val="auto"/>
              <w:rPr>
                <w:sz w:val="18"/>
                <w:szCs w:val="18"/>
              </w:rPr>
            </w:pPr>
            <w:r>
              <w:rPr>
                <w:rFonts w:hint="default"/>
                <w:sz w:val="18"/>
                <w:szCs w:val="18"/>
              </w:rPr>
              <w:t>音乐理论：介绍音乐的基本元素，如音高、音长、音强、音色等，以及音乐的结构、节奏、旋律、和声等基本概念。</w:t>
            </w:r>
          </w:p>
          <w:p w14:paraId="3CDF21DC">
            <w:pPr>
              <w:keepNext w:val="0"/>
              <w:keepLines w:val="0"/>
              <w:pageBreakBefore w:val="0"/>
              <w:widowControl w:val="0"/>
              <w:kinsoku/>
              <w:wordWrap/>
              <w:overflowPunct/>
              <w:topLinePunct w:val="0"/>
              <w:autoSpaceDE w:val="0"/>
              <w:autoSpaceDN/>
              <w:bidi w:val="0"/>
              <w:adjustRightInd/>
              <w:snapToGrid/>
              <w:jc w:val="left"/>
              <w:textAlignment w:val="auto"/>
              <w:rPr>
                <w:rFonts w:hint="default"/>
                <w:b/>
                <w:bCs/>
                <w:sz w:val="18"/>
                <w:szCs w:val="18"/>
              </w:rPr>
            </w:pPr>
            <w:r>
              <w:rPr>
                <w:rFonts w:hint="eastAsia"/>
                <w:b/>
                <w:bCs/>
                <w:sz w:val="18"/>
                <w:szCs w:val="18"/>
                <w:lang w:val="en-US" w:eastAsia="zh-CN"/>
              </w:rPr>
              <w:t>2</w:t>
            </w:r>
            <w:r>
              <w:rPr>
                <w:rFonts w:hint="default"/>
                <w:b/>
                <w:bCs/>
                <w:sz w:val="18"/>
                <w:szCs w:val="18"/>
              </w:rPr>
              <w:t>、音乐鉴赏与分析</w:t>
            </w:r>
          </w:p>
          <w:p w14:paraId="2F93C83B">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经典音乐作品鉴赏：选取中外音乐史上的经典作品进行鉴赏，分析作品的创作背景、风格特点、情感表达等。</w:t>
            </w:r>
          </w:p>
          <w:p w14:paraId="06AB83C5">
            <w:pPr>
              <w:keepNext w:val="0"/>
              <w:keepLines w:val="0"/>
              <w:pageBreakBefore w:val="0"/>
              <w:widowControl w:val="0"/>
              <w:kinsoku/>
              <w:wordWrap/>
              <w:overflowPunct/>
              <w:topLinePunct w:val="0"/>
              <w:autoSpaceDE w:val="0"/>
              <w:autoSpaceDN/>
              <w:bidi w:val="0"/>
              <w:adjustRightInd/>
              <w:snapToGrid/>
              <w:ind w:left="0" w:leftChars="0" w:firstLine="0" w:firstLineChars="0"/>
              <w:jc w:val="left"/>
              <w:textAlignment w:val="auto"/>
              <w:rPr>
                <w:rFonts w:hint="default"/>
                <w:sz w:val="18"/>
                <w:szCs w:val="18"/>
              </w:rPr>
            </w:pPr>
            <w:r>
              <w:rPr>
                <w:rFonts w:hint="default"/>
                <w:sz w:val="18"/>
                <w:szCs w:val="18"/>
              </w:rPr>
              <w:t>音乐表现手段：讲解音乐如何通过旋律、节奏、和声等手段来表现情感、描绘形象、营造氛围等。</w:t>
            </w:r>
          </w:p>
          <w:p w14:paraId="7AE7E8D5">
            <w:pPr>
              <w:keepNext w:val="0"/>
              <w:keepLines w:val="0"/>
              <w:pageBreakBefore w:val="0"/>
              <w:widowControl w:val="0"/>
              <w:kinsoku/>
              <w:wordWrap/>
              <w:overflowPunct/>
              <w:topLinePunct w:val="0"/>
              <w:autoSpaceDE w:val="0"/>
              <w:autoSpaceDN/>
              <w:bidi w:val="0"/>
              <w:adjustRightInd/>
              <w:snapToGrid/>
              <w:jc w:val="left"/>
              <w:textAlignment w:val="auto"/>
              <w:rPr>
                <w:rFonts w:hint="default"/>
                <w:b/>
                <w:bCs/>
                <w:sz w:val="18"/>
                <w:szCs w:val="18"/>
              </w:rPr>
            </w:pPr>
            <w:r>
              <w:rPr>
                <w:rFonts w:hint="eastAsia"/>
                <w:b/>
                <w:bCs/>
                <w:sz w:val="18"/>
                <w:szCs w:val="18"/>
                <w:lang w:val="en-US" w:eastAsia="zh-CN"/>
              </w:rPr>
              <w:t>3</w:t>
            </w:r>
            <w:r>
              <w:rPr>
                <w:rFonts w:hint="default"/>
                <w:b/>
                <w:bCs/>
                <w:sz w:val="18"/>
                <w:szCs w:val="18"/>
              </w:rPr>
              <w:t>、音乐实践</w:t>
            </w:r>
          </w:p>
          <w:p w14:paraId="13EC9FE7">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音乐表演：通过合唱、乐器演奏等形式，让学生亲身体验音乐的魅力，提高音乐表现能力。</w:t>
            </w:r>
          </w:p>
          <w:p w14:paraId="22BF8CE1">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音乐创作：鼓励学生尝试简单的音乐创作，如编写旋律、和声等，以培养学生的创新思维和实践能力。</w:t>
            </w:r>
          </w:p>
          <w:p w14:paraId="48B51779">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音乐与人生：引导学生思考音乐与人生的关系，通过音乐鉴赏来感悟人生哲理，提升人文素养。</w:t>
            </w:r>
          </w:p>
          <w:p w14:paraId="1A2E214A">
            <w:pPr>
              <w:snapToGrid w:val="0"/>
              <w:rPr>
                <w:rFonts w:hint="eastAsia" w:ascii="宋体" w:hAnsi="宋体" w:eastAsia="宋体" w:cs="Times New Roman"/>
                <w:color w:val="000000"/>
                <w:kern w:val="2"/>
                <w:sz w:val="18"/>
                <w:szCs w:val="18"/>
                <w:lang w:val="en-US" w:eastAsia="zh-CN" w:bidi="ar-SA"/>
              </w:rPr>
            </w:pPr>
          </w:p>
        </w:tc>
        <w:tc>
          <w:tcPr>
            <w:tcW w:w="2782" w:type="dxa"/>
            <w:shd w:val="clear"/>
            <w:vAlign w:val="top"/>
          </w:tcPr>
          <w:p w14:paraId="6AAD2042">
            <w:pPr>
              <w:numPr>
                <w:ilvl w:val="0"/>
                <w:numId w:val="3"/>
              </w:num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条件要求</w:t>
            </w:r>
          </w:p>
          <w:p w14:paraId="3D78C1F5">
            <w:pPr>
              <w:numPr>
                <w:ilvl w:val="0"/>
                <w:numId w:val="0"/>
              </w:num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使用多媒体教学，图文并茂地演示教学内容。</w:t>
            </w:r>
          </w:p>
          <w:p w14:paraId="28109277">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2、</w:t>
            </w:r>
            <w:r>
              <w:rPr>
                <w:rFonts w:hint="eastAsia" w:ascii="宋体" w:hAnsi="宋体" w:eastAsia="宋体" w:cs="宋体"/>
                <w:b/>
                <w:bCs/>
                <w:sz w:val="18"/>
                <w:szCs w:val="18"/>
              </w:rPr>
              <w:t>教学方法</w:t>
            </w:r>
          </w:p>
          <w:p w14:paraId="2F028D3D">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多媒体教学：利用音频、视频等多媒体教学手段，让学生更直观地感受音乐作品的艺术魅力。</w:t>
            </w:r>
          </w:p>
          <w:p w14:paraId="6F6F2475">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互动式教学：通过课堂讨论、小组合作等方式，激发学生的学习兴趣和主动性，提高教学效果。</w:t>
            </w:r>
          </w:p>
          <w:p w14:paraId="3BE57EE5">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实践教学：结合音乐表演、创作等实践活动，让学生在实践中学习和掌握音乐鉴赏的知识和技能。</w:t>
            </w:r>
          </w:p>
          <w:p w14:paraId="6302A8DA">
            <w:pPr>
              <w:keepNext w:val="0"/>
              <w:keepLines w:val="0"/>
              <w:pageBreakBefore w:val="0"/>
              <w:widowControl w:val="0"/>
              <w:numPr>
                <w:ilvl w:val="0"/>
                <w:numId w:val="0"/>
              </w:numPr>
              <w:kinsoku/>
              <w:wordWrap/>
              <w:overflowPunct/>
              <w:topLinePunct w:val="0"/>
              <w:autoSpaceDE w:val="0"/>
              <w:autoSpaceDN/>
              <w:bidi w:val="0"/>
              <w:adjustRightInd/>
              <w:snapToGrid/>
              <w:ind w:leftChars="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3、师资要求</w:t>
            </w:r>
          </w:p>
          <w:p w14:paraId="4E705A25">
            <w:pPr>
              <w:keepNext w:val="0"/>
              <w:keepLines w:val="0"/>
              <w:pageBreakBefore w:val="0"/>
              <w:widowControl w:val="0"/>
              <w:numPr>
                <w:ilvl w:val="0"/>
                <w:numId w:val="0"/>
              </w:numPr>
              <w:kinsoku/>
              <w:wordWrap/>
              <w:overflowPunct/>
              <w:topLinePunct w:val="0"/>
              <w:autoSpaceDE w:val="0"/>
              <w:autoSpaceDN/>
              <w:bidi w:val="0"/>
              <w:adjustRightInd/>
              <w:snapToGrid/>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应具有音乐类本科以上学历或讲师以上职成，具备较丰富的教学经验和较高的思想道德素质。</w:t>
            </w:r>
          </w:p>
          <w:p w14:paraId="0E0FFD63">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4、考核要求</w:t>
            </w:r>
          </w:p>
          <w:p w14:paraId="42B113A5">
            <w:pPr>
              <w:keepNext w:val="0"/>
              <w:keepLines w:val="0"/>
              <w:pageBreakBefore w:val="0"/>
              <w:widowControl w:val="0"/>
              <w:kinsoku/>
              <w:wordWrap/>
              <w:overflowPunct/>
              <w:topLinePunct w:val="0"/>
              <w:autoSpaceDE w:val="0"/>
              <w:autoSpaceDN/>
              <w:bidi w:val="0"/>
              <w:adjustRightInd/>
              <w:snapToGrid/>
              <w:jc w:val="left"/>
              <w:textAlignment w:val="auto"/>
              <w:rPr>
                <w:rFonts w:hint="default"/>
                <w:lang w:val="en-US" w:eastAsia="zh-CN"/>
              </w:rPr>
            </w:pPr>
            <w:r>
              <w:rPr>
                <w:rFonts w:hint="eastAsia" w:ascii="宋体" w:hAnsi="宋体" w:eastAsia="宋体" w:cs="宋体"/>
                <w:sz w:val="18"/>
                <w:szCs w:val="18"/>
                <w:lang w:val="en-US" w:eastAsia="zh-CN"/>
              </w:rPr>
              <w:t>采用过程考核与结果考核相结合，过程性考核根据考勤、课堂表现等评定，占总成绩的50%，期末考试占50%。</w:t>
            </w:r>
          </w:p>
          <w:p w14:paraId="69CE2310">
            <w:pPr>
              <w:snapToGrid w:val="0"/>
              <w:rPr>
                <w:rFonts w:hint="eastAsia" w:ascii="宋体" w:hAnsi="宋体" w:eastAsia="宋体" w:cs="Times New Roman"/>
                <w:color w:val="000000"/>
                <w:kern w:val="2"/>
                <w:sz w:val="18"/>
                <w:szCs w:val="18"/>
                <w:lang w:val="en-US" w:eastAsia="zh-CN" w:bidi="ar-SA"/>
              </w:rPr>
            </w:pPr>
          </w:p>
        </w:tc>
      </w:tr>
      <w:tr w14:paraId="7185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3838F871">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军事理论</w:t>
            </w:r>
          </w:p>
        </w:tc>
        <w:tc>
          <w:tcPr>
            <w:tcW w:w="2985" w:type="dxa"/>
            <w:vAlign w:val="top"/>
          </w:tcPr>
          <w:p w14:paraId="2D185B78">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15D810F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增强学生的国防观念、国家安全意识和忧患危机意识；弘扬爱国主义精神、传承红色基因、提高学生综合国防素质。</w:t>
            </w:r>
          </w:p>
          <w:p w14:paraId="532AC5F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48DDB44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掌握军事理论的基本知识；了解世界新军事变革的发展趋势；理解习近平强军思想的深刻内涵。 </w:t>
            </w:r>
          </w:p>
          <w:p w14:paraId="60941C7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0583848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具备对军事理论基本知识进行正确认知、理解、领悟和宣传的能力。</w:t>
            </w:r>
          </w:p>
        </w:tc>
        <w:tc>
          <w:tcPr>
            <w:tcW w:w="1920" w:type="dxa"/>
            <w:vAlign w:val="top"/>
          </w:tcPr>
          <w:p w14:paraId="0C65DB8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（1）国防知识教育；（2）国家安全教育；</w:t>
            </w:r>
          </w:p>
          <w:p w14:paraId="31B9B59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（3）军事思想教育；</w:t>
            </w:r>
          </w:p>
          <w:p w14:paraId="01950A8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（4）现代化战争和信息化武器装备概述。</w:t>
            </w:r>
          </w:p>
        </w:tc>
        <w:tc>
          <w:tcPr>
            <w:tcW w:w="2782" w:type="dxa"/>
            <w:vAlign w:val="top"/>
          </w:tcPr>
          <w:p w14:paraId="371C6523">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（1）</w:t>
            </w:r>
            <w:r>
              <w:rPr>
                <w:rFonts w:hint="eastAsia" w:ascii="宋体" w:hAnsi="宋体"/>
                <w:color w:val="000000"/>
                <w:sz w:val="18"/>
                <w:szCs w:val="18"/>
                <w:lang w:val="zh-CN" w:eastAsia="zh-CN"/>
              </w:rPr>
              <w:t>条件要求：多媒体设备，教学软件，</w:t>
            </w:r>
            <w:r>
              <w:rPr>
                <w:rFonts w:hint="eastAsia" w:ascii="宋体" w:hAnsi="宋体"/>
                <w:color w:val="000000"/>
                <w:sz w:val="18"/>
                <w:szCs w:val="18"/>
                <w:lang w:val="en-US" w:eastAsia="zh-CN"/>
              </w:rPr>
              <w:t>职教云</w:t>
            </w:r>
            <w:r>
              <w:rPr>
                <w:rFonts w:hint="eastAsia" w:ascii="宋体" w:hAnsi="宋体"/>
                <w:color w:val="000000"/>
                <w:sz w:val="18"/>
                <w:szCs w:val="18"/>
                <w:lang w:val="zh-CN" w:eastAsia="zh-CN"/>
              </w:rPr>
              <w:t>平台等。</w:t>
            </w:r>
          </w:p>
          <w:p w14:paraId="76A04B4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（2）教学方法：线上学习为主。</w:t>
            </w:r>
          </w:p>
          <w:p w14:paraId="7328FCE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（3）师资要求：军事教育专业，有较丰富的教学经验。</w:t>
            </w:r>
          </w:p>
          <w:p w14:paraId="5AA0D95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（4）考核要求：考试。形成性考核30%+终结性考核70%。</w:t>
            </w:r>
          </w:p>
        </w:tc>
      </w:tr>
      <w:tr w14:paraId="4A9E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3747297C">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入学教育与安全教育</w:t>
            </w:r>
          </w:p>
        </w:tc>
        <w:tc>
          <w:tcPr>
            <w:tcW w:w="2985" w:type="dxa"/>
            <w:vAlign w:val="top"/>
          </w:tcPr>
          <w:p w14:paraId="576C03C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6207E42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树立正确的世界观、人生观和价值观，具备爱校意识和专业意识，明确学习目标，遵守学校规章制度，合理规划职业生涯，增强自我安全防范意识，以崭新面貌迎接大学生活。</w:t>
            </w:r>
          </w:p>
          <w:p w14:paraId="68722D4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D2B284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了解学院规章制度及专业学习要求。掌握必备的安全消防相关知识；掌握紧急情况下的逃生策略；掌握安全问题相关的法律法规知识。</w:t>
            </w:r>
          </w:p>
          <w:p w14:paraId="6A5993F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227E9D3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具备良好的学习心态；具备突发安全事件应急处理能力；具有一定的防诈骗能力。</w:t>
            </w:r>
          </w:p>
        </w:tc>
        <w:tc>
          <w:tcPr>
            <w:tcW w:w="1920" w:type="dxa"/>
            <w:vAlign w:val="top"/>
          </w:tcPr>
          <w:p w14:paraId="6B16DB0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（1）适应性教育；</w:t>
            </w:r>
          </w:p>
          <w:p w14:paraId="1CD0888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（2）安全法制教育；</w:t>
            </w:r>
          </w:p>
          <w:p w14:paraId="78F1EC8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（3）校纪校规教育；（4）心理健康教育；</w:t>
            </w:r>
          </w:p>
          <w:p w14:paraId="5C5F050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（5）专业认知教育；</w:t>
            </w:r>
          </w:p>
          <w:p w14:paraId="561AAF6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（6）职业生涯规划教育。</w:t>
            </w:r>
          </w:p>
        </w:tc>
        <w:tc>
          <w:tcPr>
            <w:tcW w:w="2782" w:type="dxa"/>
            <w:vAlign w:val="top"/>
          </w:tcPr>
          <w:p w14:paraId="2E2A9A9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（1）条件要求：多媒体教室。</w:t>
            </w:r>
          </w:p>
          <w:p w14:paraId="3127D46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（2）教学方法：综合采用案例法、小组讨论法、心理测验法等多种教学方法，运用多媒体教学手段。</w:t>
            </w:r>
          </w:p>
          <w:p w14:paraId="6058A3C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（3）师资要求：辅导员教师和专业教师相结合。</w:t>
            </w:r>
          </w:p>
          <w:p w14:paraId="7083769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（4）考核要求：考查。形成性考核30%+终结性考核70%。</w:t>
            </w:r>
          </w:p>
        </w:tc>
      </w:tr>
      <w:tr w14:paraId="04CD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58D12FCE">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军事技能</w:t>
            </w:r>
          </w:p>
        </w:tc>
        <w:tc>
          <w:tcPr>
            <w:tcW w:w="2985" w:type="dxa"/>
            <w:vAlign w:val="top"/>
          </w:tcPr>
          <w:p w14:paraId="4EC464A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6BA2CF7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树立正确的世界观、人生观和价值观，具备爱校意识和专业意识，明确学习目标，遵守学校规章制度，合理规划职业生涯，增强自我安全防范意识，以崭新面貌迎接大学生活。</w:t>
            </w:r>
          </w:p>
          <w:p w14:paraId="483AD27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2903CA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掌握停止间转法、齐步、正步等队列训练的基本方法；掌握内务整理的方法；掌握紧急情况下自救和互救的方法。</w:t>
            </w:r>
          </w:p>
          <w:p w14:paraId="27C07B4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BACB07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具备一定的个人军事基础能力及突发安全事件应急处理能力。</w:t>
            </w:r>
          </w:p>
        </w:tc>
        <w:tc>
          <w:tcPr>
            <w:tcW w:w="1920" w:type="dxa"/>
            <w:vAlign w:val="top"/>
          </w:tcPr>
          <w:p w14:paraId="72C5C83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（1）共同条令教育与训练；</w:t>
            </w:r>
          </w:p>
          <w:p w14:paraId="4D16EE8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（2）射击与战术训练；</w:t>
            </w:r>
          </w:p>
          <w:p w14:paraId="2D3A5A9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（3）防卫技能与战时防护训练；</w:t>
            </w:r>
          </w:p>
          <w:p w14:paraId="1603466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（4）战备基础与应用训练。</w:t>
            </w:r>
          </w:p>
        </w:tc>
        <w:tc>
          <w:tcPr>
            <w:tcW w:w="2782" w:type="dxa"/>
            <w:vAlign w:val="top"/>
          </w:tcPr>
          <w:p w14:paraId="5B95B47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（1）条件要求：训练场地、军械器材设备。</w:t>
            </w:r>
          </w:p>
          <w:p w14:paraId="26ADE1D9">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（2）</w:t>
            </w:r>
            <w:r>
              <w:rPr>
                <w:rFonts w:hint="eastAsia" w:ascii="宋体" w:hAnsi="宋体"/>
                <w:color w:val="000000"/>
                <w:sz w:val="18"/>
                <w:szCs w:val="18"/>
                <w:lang w:val="zh-CN" w:eastAsia="zh-CN"/>
              </w:rPr>
              <w:t>教学方法：教官现场示范教学,学生自我训练。科学合理设置训练环节和科目，做好安全防护保障和医疗后勤保障。</w:t>
            </w:r>
          </w:p>
          <w:p w14:paraId="4100F45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（3）师资要求：军事教育专业，转业退伍军人，“四会教练员”，有较丰富的教学经验。</w:t>
            </w:r>
          </w:p>
          <w:p w14:paraId="14DA5E2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（4）考核要求：考查。形成性考核30%+终结性考核70%。</w:t>
            </w:r>
          </w:p>
        </w:tc>
      </w:tr>
    </w:tbl>
    <w:p w14:paraId="6A1AB02F">
      <w:pPr>
        <w:numPr>
          <w:ilvl w:val="0"/>
          <w:numId w:val="0"/>
        </w:numPr>
        <w:tabs>
          <w:tab w:val="left" w:pos="312"/>
        </w:tabs>
        <w:spacing w:line="440" w:lineRule="exact"/>
        <w:ind w:firstLine="420" w:firstLineChars="200"/>
        <w:rPr>
          <w:rFonts w:ascii="黑体" w:hAnsi="黑体" w:eastAsia="黑体"/>
          <w:color w:val="000000" w:themeColor="text1"/>
          <w:szCs w:val="21"/>
        </w:rPr>
      </w:pPr>
      <w:r>
        <w:rPr>
          <w:rFonts w:hint="eastAsia" w:ascii="黑体" w:hAnsi="黑体" w:eastAsia="黑体"/>
          <w:color w:val="000000" w:themeColor="text1"/>
          <w:szCs w:val="21"/>
          <w:lang w:eastAsia="zh-CN"/>
        </w:rPr>
        <w:t>（二）</w:t>
      </w:r>
      <w:r>
        <w:rPr>
          <w:rFonts w:hint="eastAsia" w:ascii="黑体" w:hAnsi="黑体" w:eastAsia="黑体"/>
          <w:color w:val="000000" w:themeColor="text1"/>
          <w:szCs w:val="21"/>
        </w:rPr>
        <w:t>专业必修课（带★为专业核心课）</w:t>
      </w:r>
    </w:p>
    <w:tbl>
      <w:tblPr>
        <w:tblStyle w:val="14"/>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865"/>
        <w:gridCol w:w="2370"/>
        <w:gridCol w:w="2512"/>
      </w:tblGrid>
      <w:tr w14:paraId="5677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57" w:type="dxa"/>
            <w:vAlign w:val="center"/>
          </w:tcPr>
          <w:p w14:paraId="15375FA8">
            <w:pPr>
              <w:adjustRightInd w:val="0"/>
              <w:snapToGrid w:val="0"/>
              <w:spacing w:line="276" w:lineRule="auto"/>
              <w:rPr>
                <w:rFonts w:ascii="宋体" w:hAnsi="宋体" w:cs="宋体"/>
                <w:sz w:val="18"/>
                <w:szCs w:val="18"/>
              </w:rPr>
            </w:pPr>
            <w:r>
              <w:rPr>
                <w:rFonts w:hint="eastAsia" w:ascii="宋体" w:hAnsi="宋体" w:cs="宋体"/>
                <w:sz w:val="18"/>
                <w:szCs w:val="18"/>
              </w:rPr>
              <w:t>课程名称</w:t>
            </w:r>
          </w:p>
        </w:tc>
        <w:tc>
          <w:tcPr>
            <w:tcW w:w="2865" w:type="dxa"/>
            <w:vAlign w:val="center"/>
          </w:tcPr>
          <w:p w14:paraId="14825AD9">
            <w:pPr>
              <w:adjustRightInd w:val="0"/>
              <w:snapToGrid w:val="0"/>
              <w:spacing w:line="276" w:lineRule="auto"/>
              <w:ind w:firstLine="360" w:firstLineChars="200"/>
              <w:rPr>
                <w:rFonts w:ascii="宋体" w:hAnsi="宋体" w:cs="宋体"/>
                <w:sz w:val="18"/>
                <w:szCs w:val="18"/>
              </w:rPr>
            </w:pPr>
            <w:r>
              <w:rPr>
                <w:rFonts w:hint="eastAsia" w:ascii="宋体" w:hAnsi="宋体" w:cs="宋体"/>
                <w:sz w:val="18"/>
                <w:szCs w:val="18"/>
              </w:rPr>
              <w:t>课程目标</w:t>
            </w:r>
          </w:p>
        </w:tc>
        <w:tc>
          <w:tcPr>
            <w:tcW w:w="2370" w:type="dxa"/>
            <w:vAlign w:val="center"/>
          </w:tcPr>
          <w:p w14:paraId="0A1B33D1">
            <w:pPr>
              <w:adjustRightInd w:val="0"/>
              <w:snapToGrid w:val="0"/>
              <w:spacing w:line="276" w:lineRule="auto"/>
              <w:rPr>
                <w:rFonts w:ascii="宋体" w:hAnsi="宋体" w:cs="宋体"/>
                <w:sz w:val="18"/>
                <w:szCs w:val="18"/>
              </w:rPr>
            </w:pPr>
            <w:r>
              <w:rPr>
                <w:rFonts w:hint="eastAsia" w:ascii="宋体" w:hAnsi="宋体" w:cs="宋体"/>
                <w:sz w:val="18"/>
                <w:szCs w:val="18"/>
              </w:rPr>
              <w:t>课程内容</w:t>
            </w:r>
          </w:p>
        </w:tc>
        <w:tc>
          <w:tcPr>
            <w:tcW w:w="2512" w:type="dxa"/>
            <w:vAlign w:val="center"/>
          </w:tcPr>
          <w:p w14:paraId="1FD0356F">
            <w:pPr>
              <w:adjustRightInd w:val="0"/>
              <w:snapToGrid w:val="0"/>
              <w:spacing w:line="276" w:lineRule="auto"/>
              <w:rPr>
                <w:rFonts w:ascii="宋体" w:hAnsi="宋体" w:cs="宋体"/>
                <w:sz w:val="18"/>
                <w:szCs w:val="18"/>
              </w:rPr>
            </w:pPr>
            <w:r>
              <w:rPr>
                <w:rFonts w:hint="eastAsia" w:ascii="宋体" w:hAnsi="宋体" w:cs="宋体"/>
                <w:sz w:val="18"/>
                <w:szCs w:val="18"/>
              </w:rPr>
              <w:t>教学要求</w:t>
            </w:r>
          </w:p>
        </w:tc>
      </w:tr>
      <w:tr w14:paraId="3669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dxa"/>
            <w:vAlign w:val="center"/>
          </w:tcPr>
          <w:p w14:paraId="17C1CECD">
            <w:pPr>
              <w:adjustRightInd w:val="0"/>
              <w:snapToGrid w:val="0"/>
              <w:spacing w:line="276" w:lineRule="auto"/>
              <w:rPr>
                <w:rFonts w:ascii="宋体" w:hAnsi="宋体" w:cs="宋体"/>
                <w:sz w:val="18"/>
                <w:szCs w:val="18"/>
              </w:rPr>
            </w:pPr>
            <w:r>
              <w:rPr>
                <w:rFonts w:hint="eastAsia" w:ascii="宋体" w:hAnsi="宋体"/>
                <w:sz w:val="18"/>
                <w:szCs w:val="18"/>
              </w:rPr>
              <w:t>经济学基础</w:t>
            </w:r>
          </w:p>
        </w:tc>
        <w:tc>
          <w:tcPr>
            <w:tcW w:w="2865" w:type="dxa"/>
          </w:tcPr>
          <w:p w14:paraId="312A32A7">
            <w:pPr>
              <w:adjustRightInd w:val="0"/>
              <w:snapToGrid w:val="0"/>
              <w:spacing w:line="276" w:lineRule="auto"/>
              <w:rPr>
                <w:rFonts w:ascii="宋体" w:hAnsi="宋体"/>
                <w:b/>
                <w:color w:val="000000"/>
                <w:sz w:val="18"/>
                <w:szCs w:val="18"/>
              </w:rPr>
            </w:pPr>
            <w:r>
              <w:rPr>
                <w:rFonts w:hint="eastAsia" w:ascii="宋体" w:hAnsi="宋体"/>
                <w:b/>
                <w:color w:val="000000"/>
                <w:sz w:val="18"/>
                <w:szCs w:val="18"/>
              </w:rPr>
              <w:t>素质目标：</w:t>
            </w:r>
          </w:p>
          <w:p w14:paraId="4C06E3C3">
            <w:pPr>
              <w:adjustRightInd w:val="0"/>
              <w:snapToGrid w:val="0"/>
              <w:spacing w:line="276" w:lineRule="auto"/>
              <w:rPr>
                <w:rFonts w:ascii="宋体" w:hAnsi="宋体"/>
                <w:color w:val="000000"/>
                <w:sz w:val="18"/>
                <w:szCs w:val="18"/>
              </w:rPr>
            </w:pPr>
            <w:r>
              <w:rPr>
                <w:rFonts w:hint="eastAsia" w:ascii="宋体" w:hAnsi="宋体"/>
                <w:color w:val="000000"/>
                <w:sz w:val="18"/>
                <w:szCs w:val="18"/>
              </w:rPr>
              <w:t>培养学生的经济思维，加深对经济现象的敏感度，树立正确的世界观、价值观，能正确理解与分析当今社会面临的经济问题，培养学生认知、系统归纳、逻辑推理的能力。</w:t>
            </w:r>
          </w:p>
          <w:p w14:paraId="69486B51">
            <w:pPr>
              <w:adjustRightInd w:val="0"/>
              <w:snapToGrid w:val="0"/>
              <w:spacing w:line="276" w:lineRule="auto"/>
              <w:rPr>
                <w:rFonts w:ascii="宋体" w:hAnsi="宋体"/>
                <w:b/>
                <w:color w:val="000000"/>
                <w:sz w:val="18"/>
                <w:szCs w:val="18"/>
              </w:rPr>
            </w:pPr>
            <w:r>
              <w:rPr>
                <w:rFonts w:hint="eastAsia" w:ascii="宋体" w:hAnsi="宋体"/>
                <w:b/>
                <w:color w:val="000000"/>
                <w:sz w:val="18"/>
                <w:szCs w:val="18"/>
              </w:rPr>
              <w:t>知识目标：</w:t>
            </w:r>
          </w:p>
          <w:p w14:paraId="578E423C">
            <w:pPr>
              <w:adjustRightInd w:val="0"/>
              <w:snapToGrid w:val="0"/>
              <w:spacing w:line="276" w:lineRule="auto"/>
              <w:rPr>
                <w:rFonts w:ascii="宋体" w:hAnsi="宋体"/>
                <w:color w:val="000000"/>
                <w:sz w:val="18"/>
                <w:szCs w:val="18"/>
              </w:rPr>
            </w:pPr>
            <w:r>
              <w:rPr>
                <w:rFonts w:hint="eastAsia" w:ascii="宋体" w:hAnsi="宋体"/>
                <w:color w:val="000000"/>
                <w:sz w:val="18"/>
                <w:szCs w:val="18"/>
              </w:rPr>
              <w:t>通过本课程的学习，使学生掌握经济学的基本理论、基本概念和基本分析方法，掌握微观经济学、宏观经济学的基本内容。</w:t>
            </w:r>
          </w:p>
          <w:p w14:paraId="2BA98783">
            <w:pPr>
              <w:adjustRightInd w:val="0"/>
              <w:snapToGrid w:val="0"/>
              <w:spacing w:line="276" w:lineRule="auto"/>
              <w:rPr>
                <w:rFonts w:ascii="宋体" w:hAnsi="宋体"/>
                <w:b/>
                <w:color w:val="000000"/>
                <w:sz w:val="18"/>
                <w:szCs w:val="18"/>
              </w:rPr>
            </w:pPr>
            <w:r>
              <w:rPr>
                <w:rFonts w:hint="eastAsia" w:ascii="宋体" w:hAnsi="宋体"/>
                <w:b/>
                <w:color w:val="000000"/>
                <w:sz w:val="18"/>
                <w:szCs w:val="18"/>
              </w:rPr>
              <w:t>能力目标：</w:t>
            </w:r>
          </w:p>
          <w:p w14:paraId="50B6AC37">
            <w:pPr>
              <w:adjustRightInd w:val="0"/>
              <w:snapToGrid w:val="0"/>
              <w:spacing w:line="276" w:lineRule="auto"/>
              <w:rPr>
                <w:rFonts w:ascii="宋体" w:hAnsi="宋体" w:cs="宋体"/>
                <w:sz w:val="18"/>
                <w:szCs w:val="18"/>
              </w:rPr>
            </w:pPr>
            <w:r>
              <w:rPr>
                <w:rFonts w:hint="eastAsia" w:ascii="宋体" w:hAnsi="宋体"/>
                <w:color w:val="000000"/>
                <w:sz w:val="18"/>
                <w:szCs w:val="18"/>
              </w:rPr>
              <w:t>能将经济学理论与社会实际现象相结合，能够运用辩证思维方法、数理逻辑思维方法及实证分析法分析解决社会经济现象和具体问题。</w:t>
            </w:r>
          </w:p>
        </w:tc>
        <w:tc>
          <w:tcPr>
            <w:tcW w:w="2370" w:type="dxa"/>
          </w:tcPr>
          <w:p w14:paraId="3D2DF896">
            <w:pPr>
              <w:adjustRightInd w:val="0"/>
              <w:snapToGrid w:val="0"/>
              <w:spacing w:line="276" w:lineRule="auto"/>
              <w:rPr>
                <w:rFonts w:ascii="宋体" w:hAnsi="宋体"/>
                <w:color w:val="000000"/>
                <w:sz w:val="18"/>
                <w:szCs w:val="18"/>
              </w:rPr>
            </w:pPr>
            <w:r>
              <w:rPr>
                <w:rFonts w:hint="eastAsia" w:ascii="宋体" w:hAnsi="宋体"/>
                <w:color w:val="000000"/>
                <w:sz w:val="18"/>
                <w:szCs w:val="18"/>
              </w:rPr>
              <w:t>（1）经济学导论；</w:t>
            </w:r>
          </w:p>
          <w:p w14:paraId="5C3FE2C3">
            <w:pPr>
              <w:adjustRightInd w:val="0"/>
              <w:snapToGrid w:val="0"/>
              <w:spacing w:line="276" w:lineRule="auto"/>
              <w:rPr>
                <w:rFonts w:ascii="宋体" w:hAnsi="宋体"/>
                <w:color w:val="000000"/>
                <w:sz w:val="18"/>
                <w:szCs w:val="18"/>
              </w:rPr>
            </w:pPr>
            <w:r>
              <w:rPr>
                <w:rFonts w:hint="eastAsia" w:ascii="宋体" w:hAnsi="宋体"/>
                <w:color w:val="000000"/>
                <w:sz w:val="18"/>
                <w:szCs w:val="18"/>
              </w:rPr>
              <w:t>（2）需求与供给；</w:t>
            </w:r>
          </w:p>
          <w:p w14:paraId="1FDA131A">
            <w:pPr>
              <w:adjustRightInd w:val="0"/>
              <w:snapToGrid w:val="0"/>
              <w:spacing w:line="276" w:lineRule="auto"/>
              <w:rPr>
                <w:rFonts w:ascii="宋体" w:hAnsi="宋体"/>
                <w:color w:val="000000"/>
                <w:sz w:val="18"/>
                <w:szCs w:val="18"/>
              </w:rPr>
            </w:pPr>
            <w:r>
              <w:rPr>
                <w:rFonts w:hint="eastAsia" w:ascii="宋体" w:hAnsi="宋体"/>
                <w:color w:val="000000"/>
                <w:sz w:val="18"/>
                <w:szCs w:val="18"/>
              </w:rPr>
              <w:t>（3）消费者行为；</w:t>
            </w:r>
          </w:p>
          <w:p w14:paraId="260C15F5">
            <w:pPr>
              <w:adjustRightInd w:val="0"/>
              <w:snapToGrid w:val="0"/>
              <w:spacing w:line="276" w:lineRule="auto"/>
              <w:rPr>
                <w:rFonts w:ascii="宋体" w:hAnsi="宋体"/>
                <w:color w:val="000000"/>
                <w:sz w:val="18"/>
                <w:szCs w:val="18"/>
              </w:rPr>
            </w:pPr>
            <w:r>
              <w:rPr>
                <w:rFonts w:hint="eastAsia" w:ascii="宋体" w:hAnsi="宋体"/>
                <w:color w:val="000000"/>
                <w:sz w:val="18"/>
                <w:szCs w:val="18"/>
              </w:rPr>
              <w:t>（4）生产者行为；</w:t>
            </w:r>
          </w:p>
          <w:p w14:paraId="46A2FC5D">
            <w:pPr>
              <w:adjustRightInd w:val="0"/>
              <w:snapToGrid w:val="0"/>
              <w:spacing w:line="276" w:lineRule="auto"/>
              <w:rPr>
                <w:rFonts w:ascii="宋体" w:hAnsi="宋体"/>
                <w:color w:val="000000"/>
                <w:sz w:val="18"/>
                <w:szCs w:val="18"/>
              </w:rPr>
            </w:pPr>
            <w:r>
              <w:rPr>
                <w:rFonts w:hint="eastAsia" w:ascii="宋体" w:hAnsi="宋体"/>
                <w:color w:val="000000"/>
                <w:sz w:val="18"/>
                <w:szCs w:val="18"/>
              </w:rPr>
              <w:t>（5）市场结构；</w:t>
            </w:r>
          </w:p>
          <w:p w14:paraId="72E7EBB6">
            <w:pPr>
              <w:adjustRightInd w:val="0"/>
              <w:snapToGrid w:val="0"/>
              <w:spacing w:line="276" w:lineRule="auto"/>
              <w:rPr>
                <w:rFonts w:ascii="宋体" w:hAnsi="宋体"/>
                <w:color w:val="000000"/>
                <w:sz w:val="18"/>
                <w:szCs w:val="18"/>
              </w:rPr>
            </w:pPr>
            <w:r>
              <w:rPr>
                <w:rFonts w:hint="eastAsia" w:ascii="宋体" w:hAnsi="宋体"/>
                <w:color w:val="000000"/>
                <w:sz w:val="18"/>
                <w:szCs w:val="18"/>
              </w:rPr>
              <w:t>（6）生产要素市场；</w:t>
            </w:r>
          </w:p>
          <w:p w14:paraId="340DF29F">
            <w:pPr>
              <w:adjustRightInd w:val="0"/>
              <w:snapToGrid w:val="0"/>
              <w:spacing w:line="276" w:lineRule="auto"/>
              <w:rPr>
                <w:rFonts w:ascii="宋体" w:hAnsi="宋体"/>
                <w:color w:val="000000"/>
                <w:sz w:val="18"/>
                <w:szCs w:val="18"/>
              </w:rPr>
            </w:pPr>
            <w:r>
              <w:rPr>
                <w:rFonts w:hint="eastAsia" w:ascii="宋体" w:hAnsi="宋体"/>
                <w:color w:val="000000"/>
                <w:sz w:val="18"/>
                <w:szCs w:val="18"/>
              </w:rPr>
              <w:t>（7）市场失灵与政府干预；</w:t>
            </w:r>
          </w:p>
          <w:p w14:paraId="17EB1A78">
            <w:pPr>
              <w:adjustRightInd w:val="0"/>
              <w:snapToGrid w:val="0"/>
              <w:spacing w:line="276" w:lineRule="auto"/>
              <w:rPr>
                <w:rFonts w:ascii="宋体" w:hAnsi="宋体"/>
                <w:color w:val="000000"/>
                <w:sz w:val="18"/>
                <w:szCs w:val="18"/>
              </w:rPr>
            </w:pPr>
            <w:r>
              <w:rPr>
                <w:rFonts w:hint="eastAsia" w:ascii="宋体" w:hAnsi="宋体"/>
                <w:color w:val="000000"/>
                <w:sz w:val="18"/>
                <w:szCs w:val="18"/>
              </w:rPr>
              <w:t>（8）国民收入的核算与决定；</w:t>
            </w:r>
          </w:p>
          <w:p w14:paraId="76911697">
            <w:pPr>
              <w:adjustRightInd w:val="0"/>
              <w:snapToGrid w:val="0"/>
              <w:spacing w:line="276" w:lineRule="auto"/>
              <w:rPr>
                <w:rFonts w:ascii="宋体" w:hAnsi="宋体"/>
                <w:color w:val="000000"/>
                <w:sz w:val="18"/>
                <w:szCs w:val="18"/>
              </w:rPr>
            </w:pPr>
            <w:r>
              <w:rPr>
                <w:rFonts w:hint="eastAsia" w:ascii="宋体" w:hAnsi="宋体"/>
                <w:color w:val="000000"/>
                <w:sz w:val="18"/>
                <w:szCs w:val="18"/>
              </w:rPr>
              <w:t>（9）失业与通货膨胀；</w:t>
            </w:r>
          </w:p>
          <w:p w14:paraId="051E6839">
            <w:pPr>
              <w:adjustRightInd w:val="0"/>
              <w:snapToGrid w:val="0"/>
              <w:spacing w:line="276" w:lineRule="auto"/>
              <w:rPr>
                <w:rFonts w:ascii="宋体" w:hAnsi="宋体"/>
                <w:color w:val="000000"/>
                <w:sz w:val="18"/>
                <w:szCs w:val="18"/>
              </w:rPr>
            </w:pPr>
            <w:r>
              <w:rPr>
                <w:rFonts w:hint="eastAsia" w:ascii="宋体" w:hAnsi="宋体"/>
                <w:color w:val="000000"/>
                <w:sz w:val="18"/>
                <w:szCs w:val="18"/>
              </w:rPr>
              <w:t>（10）经济周期与经济增长；</w:t>
            </w:r>
          </w:p>
          <w:p w14:paraId="4AFA3965">
            <w:pPr>
              <w:adjustRightInd w:val="0"/>
              <w:snapToGrid w:val="0"/>
              <w:spacing w:line="276" w:lineRule="auto"/>
              <w:rPr>
                <w:rFonts w:ascii="宋体" w:hAnsi="宋体"/>
                <w:color w:val="000000"/>
                <w:sz w:val="18"/>
                <w:szCs w:val="18"/>
              </w:rPr>
            </w:pPr>
            <w:r>
              <w:rPr>
                <w:rFonts w:hint="eastAsia" w:ascii="宋体" w:hAnsi="宋体"/>
                <w:color w:val="000000"/>
                <w:sz w:val="18"/>
                <w:szCs w:val="18"/>
              </w:rPr>
              <w:t>（11）宏观经济政策。</w:t>
            </w:r>
          </w:p>
          <w:p w14:paraId="448C92E6">
            <w:pPr>
              <w:adjustRightInd w:val="0"/>
              <w:snapToGrid w:val="0"/>
              <w:spacing w:line="276" w:lineRule="auto"/>
              <w:ind w:firstLine="360" w:firstLineChars="200"/>
              <w:rPr>
                <w:rFonts w:ascii="宋体" w:hAnsi="宋体" w:cs="宋体"/>
                <w:sz w:val="18"/>
                <w:szCs w:val="18"/>
              </w:rPr>
            </w:pPr>
          </w:p>
        </w:tc>
        <w:tc>
          <w:tcPr>
            <w:tcW w:w="2512" w:type="dxa"/>
          </w:tcPr>
          <w:p w14:paraId="616891A3">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721D2D13">
            <w:pPr>
              <w:snapToGrid w:val="0"/>
              <w:rPr>
                <w:rFonts w:ascii="宋体" w:hAnsi="宋体"/>
                <w:color w:val="000000"/>
                <w:sz w:val="18"/>
                <w:szCs w:val="18"/>
              </w:rPr>
            </w:pPr>
            <w:r>
              <w:rPr>
                <w:rFonts w:hint="eastAsia" w:ascii="宋体" w:hAnsi="宋体"/>
                <w:color w:val="000000"/>
                <w:sz w:val="18"/>
                <w:szCs w:val="18"/>
              </w:rPr>
              <w:t>（2）教学方法：结合学生特点，采用情景教学、案例教学、任务驱动教学、合作探究等教学方法；融入课程思政，立德树人贯穿课程始终。</w:t>
            </w:r>
          </w:p>
          <w:p w14:paraId="18BCF0EB">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（3）师资要求：担任本课程的教师应该具备扎实的专业知识，能够理论联系实际，深入浅出的教学。</w:t>
            </w:r>
          </w:p>
          <w:p w14:paraId="495E481D">
            <w:pPr>
              <w:adjustRightInd w:val="0"/>
              <w:snapToGrid w:val="0"/>
              <w:spacing w:line="276" w:lineRule="auto"/>
              <w:rPr>
                <w:rFonts w:ascii="宋体" w:hAnsi="宋体" w:cs="宋体"/>
                <w:color w:val="000000" w:themeColor="text1"/>
                <w:sz w:val="18"/>
                <w:szCs w:val="18"/>
              </w:rPr>
            </w:pPr>
            <w:r>
              <w:rPr>
                <w:rFonts w:hint="eastAsia" w:ascii="宋体" w:hAnsi="宋体"/>
                <w:color w:val="000000"/>
                <w:sz w:val="18"/>
                <w:szCs w:val="18"/>
              </w:rPr>
              <w:t>（4）课程考核：采用过程考核与结果考核相结合，过程性考核根据考勤、课堂表现等评定，占总成绩的30%，期末考试占70%。</w:t>
            </w:r>
          </w:p>
        </w:tc>
      </w:tr>
      <w:tr w14:paraId="7E5BE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dxa"/>
            <w:vAlign w:val="center"/>
          </w:tcPr>
          <w:p w14:paraId="2CE40CA3">
            <w:pPr>
              <w:adjustRightInd w:val="0"/>
              <w:snapToGrid w:val="0"/>
              <w:spacing w:line="276" w:lineRule="auto"/>
              <w:rPr>
                <w:rFonts w:hint="eastAsia" w:ascii="宋体" w:hAnsi="宋体" w:eastAsia="宋体" w:cs="宋体"/>
                <w:sz w:val="18"/>
                <w:szCs w:val="18"/>
                <w:lang w:eastAsia="zh-CN"/>
              </w:rPr>
            </w:pPr>
            <w:r>
              <w:rPr>
                <w:rFonts w:hint="eastAsia" w:ascii="宋体" w:hAnsi="宋体"/>
                <w:sz w:val="18"/>
                <w:szCs w:val="18"/>
                <w:highlight w:val="none"/>
                <w:lang w:eastAsia="zh-CN"/>
              </w:rPr>
              <w:t>金融学基础</w:t>
            </w:r>
          </w:p>
        </w:tc>
        <w:tc>
          <w:tcPr>
            <w:tcW w:w="2865" w:type="dxa"/>
          </w:tcPr>
          <w:p w14:paraId="34722346">
            <w:pPr>
              <w:adjustRightInd w:val="0"/>
              <w:snapToGrid w:val="0"/>
              <w:spacing w:line="276" w:lineRule="auto"/>
              <w:rPr>
                <w:rFonts w:ascii="宋体" w:hAnsi="宋体"/>
                <w:b/>
                <w:color w:val="000000"/>
                <w:sz w:val="18"/>
                <w:szCs w:val="18"/>
              </w:rPr>
            </w:pPr>
            <w:r>
              <w:rPr>
                <w:rFonts w:hint="eastAsia" w:ascii="宋体" w:hAnsi="宋体"/>
                <w:b/>
                <w:color w:val="000000"/>
                <w:sz w:val="18"/>
                <w:szCs w:val="18"/>
              </w:rPr>
              <w:t>素质目标：</w:t>
            </w:r>
          </w:p>
          <w:p w14:paraId="0247A47F">
            <w:pPr>
              <w:adjustRightInd w:val="0"/>
              <w:snapToGrid w:val="0"/>
              <w:spacing w:line="276" w:lineRule="auto"/>
              <w:rPr>
                <w:rFonts w:hint="eastAsia" w:ascii="宋体" w:hAnsi="宋体" w:eastAsia="宋体"/>
                <w:color w:val="000000"/>
                <w:sz w:val="18"/>
                <w:szCs w:val="18"/>
                <w:lang w:eastAsia="zh-CN"/>
              </w:rPr>
            </w:pPr>
            <w:r>
              <w:rPr>
                <w:rFonts w:hint="eastAsia" w:ascii="宋体" w:hAnsi="宋体"/>
                <w:color w:val="000000"/>
                <w:sz w:val="18"/>
                <w:szCs w:val="18"/>
              </w:rPr>
              <w:t>培养学生掌握金融的基本逻辑；</w:t>
            </w:r>
            <w:r>
              <w:rPr>
                <w:rFonts w:hint="eastAsia" w:ascii="宋体" w:hAnsi="宋体"/>
                <w:color w:val="000000"/>
                <w:sz w:val="18"/>
                <w:szCs w:val="18"/>
                <w:lang w:eastAsia="zh-CN"/>
              </w:rPr>
              <w:t>培养学生树立正确的金融投资理财意识</w:t>
            </w:r>
            <w:r>
              <w:rPr>
                <w:rFonts w:hint="eastAsia" w:ascii="宋体" w:hAnsi="宋体"/>
                <w:color w:val="000000"/>
                <w:sz w:val="18"/>
                <w:szCs w:val="18"/>
              </w:rPr>
              <w:t>，培养</w:t>
            </w:r>
            <w:r>
              <w:rPr>
                <w:rFonts w:hint="eastAsia" w:ascii="宋体" w:hAnsi="宋体"/>
                <w:color w:val="000000"/>
                <w:sz w:val="18"/>
                <w:szCs w:val="18"/>
                <w:lang w:eastAsia="zh-CN"/>
              </w:rPr>
              <w:t>学生的风险意识。</w:t>
            </w:r>
          </w:p>
          <w:p w14:paraId="51F1ED72">
            <w:pPr>
              <w:adjustRightInd w:val="0"/>
              <w:snapToGrid w:val="0"/>
              <w:spacing w:line="276" w:lineRule="auto"/>
              <w:rPr>
                <w:rFonts w:ascii="宋体" w:hAnsi="宋体"/>
                <w:b/>
                <w:color w:val="000000"/>
                <w:sz w:val="18"/>
                <w:szCs w:val="18"/>
              </w:rPr>
            </w:pPr>
            <w:r>
              <w:rPr>
                <w:rFonts w:hint="eastAsia" w:ascii="宋体" w:hAnsi="宋体"/>
                <w:b/>
                <w:color w:val="000000"/>
                <w:sz w:val="18"/>
                <w:szCs w:val="18"/>
              </w:rPr>
              <w:t>知识目标：</w:t>
            </w:r>
          </w:p>
          <w:p w14:paraId="0539B746">
            <w:pPr>
              <w:adjustRightInd w:val="0"/>
              <w:snapToGrid w:val="0"/>
              <w:spacing w:line="276" w:lineRule="auto"/>
              <w:rPr>
                <w:rFonts w:hint="eastAsia" w:ascii="宋体" w:hAnsi="宋体"/>
                <w:color w:val="000000"/>
                <w:sz w:val="18"/>
                <w:szCs w:val="18"/>
                <w:lang w:eastAsia="zh-CN"/>
              </w:rPr>
            </w:pPr>
            <w:r>
              <w:rPr>
                <w:rFonts w:hint="eastAsia" w:ascii="宋体" w:hAnsi="宋体"/>
                <w:color w:val="000000"/>
                <w:sz w:val="18"/>
                <w:szCs w:val="18"/>
              </w:rPr>
              <w:t>通过本课程的学</w:t>
            </w:r>
            <w:r>
              <w:rPr>
                <w:rFonts w:hint="eastAsia" w:ascii="宋体" w:hAnsi="宋体"/>
                <w:color w:val="000000"/>
                <w:sz w:val="18"/>
                <w:szCs w:val="18"/>
                <w:lang w:eastAsia="zh-CN"/>
              </w:rPr>
              <w:t>习掌握金融的基本逻辑、原理和方法，了解金融分析的框架和应用，掌握金融投资的方法和实务，为从事金融管理相关工作以及管理财富和风险奠定基础。</w:t>
            </w:r>
          </w:p>
          <w:p w14:paraId="632E0304">
            <w:pPr>
              <w:adjustRightInd w:val="0"/>
              <w:snapToGrid w:val="0"/>
              <w:spacing w:line="276" w:lineRule="auto"/>
              <w:rPr>
                <w:rFonts w:ascii="宋体" w:hAnsi="宋体"/>
                <w:b/>
                <w:color w:val="000000"/>
                <w:sz w:val="18"/>
                <w:szCs w:val="18"/>
              </w:rPr>
            </w:pPr>
            <w:r>
              <w:rPr>
                <w:rFonts w:hint="eastAsia" w:ascii="宋体" w:hAnsi="宋体"/>
                <w:b/>
                <w:color w:val="000000"/>
                <w:sz w:val="18"/>
                <w:szCs w:val="18"/>
              </w:rPr>
              <w:t>能力目标：</w:t>
            </w:r>
          </w:p>
          <w:p w14:paraId="0A974443">
            <w:pPr>
              <w:adjustRightInd w:val="0"/>
              <w:snapToGrid w:val="0"/>
              <w:spacing w:line="276" w:lineRule="auto"/>
              <w:rPr>
                <w:rFonts w:ascii="宋体" w:hAnsi="宋体"/>
                <w:color w:val="FF0000"/>
                <w:sz w:val="18"/>
                <w:szCs w:val="18"/>
              </w:rPr>
            </w:pPr>
            <w:r>
              <w:rPr>
                <w:rFonts w:hint="eastAsia" w:ascii="宋体" w:hAnsi="宋体"/>
                <w:color w:val="000000"/>
                <w:sz w:val="18"/>
                <w:szCs w:val="18"/>
                <w:lang w:eastAsia="zh-CN"/>
              </w:rPr>
              <w:t>能够运用</w:t>
            </w:r>
            <w:r>
              <w:rPr>
                <w:rFonts w:hint="eastAsia" w:ascii="宋体" w:hAnsi="宋体"/>
                <w:color w:val="000000"/>
                <w:sz w:val="18"/>
                <w:szCs w:val="18"/>
              </w:rPr>
              <w:t>金融学的视角和思维观察、剖析种种生活现象</w:t>
            </w:r>
            <w:r>
              <w:rPr>
                <w:rFonts w:hint="eastAsia" w:ascii="宋体" w:hAnsi="宋体"/>
                <w:color w:val="000000"/>
                <w:sz w:val="18"/>
                <w:szCs w:val="18"/>
                <w:lang w:eastAsia="zh-CN"/>
              </w:rPr>
              <w:t>，</w:t>
            </w:r>
            <w:r>
              <w:rPr>
                <w:rFonts w:hint="eastAsia" w:ascii="宋体" w:hAnsi="宋体"/>
                <w:color w:val="000000"/>
                <w:sz w:val="18"/>
                <w:szCs w:val="18"/>
              </w:rPr>
              <w:t>指导自己的行为，解决生活中的各种难题。</w:t>
            </w:r>
          </w:p>
        </w:tc>
        <w:tc>
          <w:tcPr>
            <w:tcW w:w="2370" w:type="dxa"/>
          </w:tcPr>
          <w:p w14:paraId="5D7463B6">
            <w:pPr>
              <w:adjustRightInd w:val="0"/>
              <w:snapToGrid w:val="0"/>
              <w:spacing w:line="276" w:lineRule="auto"/>
              <w:rPr>
                <w:rFonts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eastAsia="zh-CN"/>
              </w:rPr>
              <w:t>货币与货币制度</w:t>
            </w:r>
            <w:r>
              <w:rPr>
                <w:rFonts w:hint="eastAsia" w:ascii="宋体" w:hAnsi="宋体"/>
                <w:color w:val="000000"/>
                <w:sz w:val="18"/>
                <w:szCs w:val="18"/>
              </w:rPr>
              <w:t>；</w:t>
            </w:r>
          </w:p>
          <w:p w14:paraId="1E0E7D52">
            <w:pPr>
              <w:adjustRightInd w:val="0"/>
              <w:snapToGrid w:val="0"/>
              <w:spacing w:line="276" w:lineRule="auto"/>
              <w:rPr>
                <w:rFonts w:ascii="宋体" w:hAnsi="宋体"/>
                <w:color w:val="000000"/>
                <w:sz w:val="18"/>
                <w:szCs w:val="18"/>
              </w:rPr>
            </w:pPr>
            <w:r>
              <w:rPr>
                <w:rFonts w:hint="eastAsia" w:ascii="宋体" w:hAnsi="宋体"/>
                <w:color w:val="000000"/>
                <w:sz w:val="18"/>
                <w:szCs w:val="18"/>
              </w:rPr>
              <w:t>（2）</w:t>
            </w:r>
            <w:r>
              <w:rPr>
                <w:rFonts w:hint="eastAsia" w:ascii="宋体" w:hAnsi="宋体"/>
                <w:color w:val="000000"/>
                <w:sz w:val="18"/>
                <w:szCs w:val="18"/>
                <w:lang w:eastAsia="zh-CN"/>
              </w:rPr>
              <w:t>信用与利率</w:t>
            </w:r>
            <w:r>
              <w:rPr>
                <w:rFonts w:hint="eastAsia" w:ascii="宋体" w:hAnsi="宋体"/>
                <w:color w:val="000000"/>
                <w:sz w:val="18"/>
                <w:szCs w:val="18"/>
              </w:rPr>
              <w:t>；</w:t>
            </w:r>
          </w:p>
          <w:p w14:paraId="32C3F76A">
            <w:pPr>
              <w:adjustRightInd w:val="0"/>
              <w:snapToGrid w:val="0"/>
              <w:spacing w:line="276" w:lineRule="auto"/>
              <w:rPr>
                <w:rFonts w:ascii="宋体" w:hAnsi="宋体"/>
                <w:color w:val="000000"/>
                <w:sz w:val="18"/>
                <w:szCs w:val="18"/>
              </w:rPr>
            </w:pPr>
            <w:r>
              <w:rPr>
                <w:rFonts w:hint="eastAsia" w:ascii="宋体" w:hAnsi="宋体"/>
                <w:color w:val="000000"/>
                <w:sz w:val="18"/>
                <w:szCs w:val="18"/>
              </w:rPr>
              <w:t>（3）</w:t>
            </w:r>
            <w:r>
              <w:rPr>
                <w:rFonts w:hint="eastAsia" w:ascii="宋体" w:hAnsi="宋体"/>
                <w:color w:val="000000"/>
                <w:sz w:val="18"/>
                <w:szCs w:val="18"/>
                <w:lang w:eastAsia="zh-CN"/>
              </w:rPr>
              <w:t>金融机构体系</w:t>
            </w:r>
            <w:r>
              <w:rPr>
                <w:rFonts w:hint="eastAsia" w:ascii="宋体" w:hAnsi="宋体"/>
                <w:color w:val="000000"/>
                <w:sz w:val="18"/>
                <w:szCs w:val="18"/>
              </w:rPr>
              <w:t>；</w:t>
            </w:r>
          </w:p>
          <w:p w14:paraId="6E11300C">
            <w:pPr>
              <w:adjustRightInd w:val="0"/>
              <w:snapToGrid w:val="0"/>
              <w:spacing w:line="276" w:lineRule="auto"/>
              <w:rPr>
                <w:rFonts w:ascii="宋体" w:hAnsi="宋体"/>
                <w:color w:val="000000"/>
                <w:sz w:val="18"/>
                <w:szCs w:val="18"/>
              </w:rPr>
            </w:pPr>
            <w:r>
              <w:rPr>
                <w:rFonts w:hint="eastAsia" w:ascii="宋体" w:hAnsi="宋体"/>
                <w:color w:val="000000"/>
                <w:sz w:val="18"/>
                <w:szCs w:val="18"/>
              </w:rPr>
              <w:t>（4）</w:t>
            </w:r>
            <w:r>
              <w:rPr>
                <w:rFonts w:hint="eastAsia" w:ascii="宋体" w:hAnsi="宋体"/>
                <w:color w:val="000000"/>
                <w:sz w:val="18"/>
                <w:szCs w:val="18"/>
                <w:lang w:eastAsia="zh-CN"/>
              </w:rPr>
              <w:t>非银行金融机构</w:t>
            </w:r>
            <w:r>
              <w:rPr>
                <w:rFonts w:hint="eastAsia" w:ascii="宋体" w:hAnsi="宋体"/>
                <w:color w:val="000000"/>
                <w:sz w:val="18"/>
                <w:szCs w:val="18"/>
              </w:rPr>
              <w:t>；</w:t>
            </w:r>
          </w:p>
          <w:p w14:paraId="3C5C065E">
            <w:pPr>
              <w:adjustRightInd w:val="0"/>
              <w:snapToGrid w:val="0"/>
              <w:spacing w:line="276" w:lineRule="auto"/>
              <w:rPr>
                <w:rFonts w:ascii="宋体" w:hAnsi="宋体"/>
                <w:color w:val="000000"/>
                <w:sz w:val="18"/>
                <w:szCs w:val="18"/>
              </w:rPr>
            </w:pPr>
            <w:r>
              <w:rPr>
                <w:rFonts w:hint="eastAsia" w:ascii="宋体" w:hAnsi="宋体"/>
                <w:color w:val="000000"/>
                <w:sz w:val="18"/>
                <w:szCs w:val="18"/>
              </w:rPr>
              <w:t>（5）</w:t>
            </w:r>
            <w:r>
              <w:rPr>
                <w:rFonts w:hint="eastAsia" w:ascii="宋体" w:hAnsi="宋体"/>
                <w:color w:val="000000"/>
                <w:sz w:val="18"/>
                <w:szCs w:val="18"/>
                <w:lang w:eastAsia="zh-CN"/>
              </w:rPr>
              <w:t>金融市场</w:t>
            </w:r>
            <w:r>
              <w:rPr>
                <w:rFonts w:hint="eastAsia" w:ascii="宋体" w:hAnsi="宋体"/>
                <w:color w:val="000000"/>
                <w:sz w:val="18"/>
                <w:szCs w:val="18"/>
              </w:rPr>
              <w:t>；</w:t>
            </w:r>
          </w:p>
          <w:p w14:paraId="2CF4DA7E">
            <w:pPr>
              <w:adjustRightInd w:val="0"/>
              <w:snapToGrid w:val="0"/>
              <w:spacing w:line="276" w:lineRule="auto"/>
              <w:rPr>
                <w:rFonts w:ascii="宋体" w:hAnsi="宋体"/>
                <w:color w:val="000000"/>
                <w:sz w:val="18"/>
                <w:szCs w:val="18"/>
              </w:rPr>
            </w:pPr>
            <w:r>
              <w:rPr>
                <w:rFonts w:hint="eastAsia" w:ascii="宋体" w:hAnsi="宋体"/>
                <w:color w:val="000000"/>
                <w:sz w:val="18"/>
                <w:szCs w:val="18"/>
              </w:rPr>
              <w:t>（6）</w:t>
            </w:r>
            <w:r>
              <w:rPr>
                <w:rFonts w:hint="eastAsia" w:ascii="宋体" w:hAnsi="宋体"/>
                <w:color w:val="000000"/>
                <w:sz w:val="18"/>
                <w:szCs w:val="18"/>
                <w:lang w:eastAsia="zh-CN"/>
              </w:rPr>
              <w:t>货币市场</w:t>
            </w:r>
            <w:r>
              <w:rPr>
                <w:rFonts w:hint="eastAsia" w:ascii="宋体" w:hAnsi="宋体"/>
                <w:color w:val="000000"/>
                <w:sz w:val="18"/>
                <w:szCs w:val="18"/>
              </w:rPr>
              <w:t>；</w:t>
            </w:r>
          </w:p>
          <w:p w14:paraId="2FABF9D8">
            <w:pPr>
              <w:adjustRightInd w:val="0"/>
              <w:snapToGrid w:val="0"/>
              <w:spacing w:line="276" w:lineRule="auto"/>
              <w:rPr>
                <w:rFonts w:hint="eastAsia" w:ascii="宋体" w:hAnsi="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资本市场；</w:t>
            </w:r>
          </w:p>
          <w:p w14:paraId="11038FAB">
            <w:pPr>
              <w:adjustRightInd w:val="0"/>
              <w:snapToGrid w:val="0"/>
              <w:spacing w:line="276" w:lineRule="auto"/>
              <w:rPr>
                <w:rFonts w:hint="eastAsia" w:ascii="宋体" w:hAnsi="宋体"/>
                <w:color w:val="000000"/>
                <w:sz w:val="18"/>
                <w:szCs w:val="18"/>
                <w:lang w:val="en-US" w:eastAsia="zh-CN"/>
              </w:rPr>
            </w:pPr>
            <w:r>
              <w:rPr>
                <w:rFonts w:hint="eastAsia" w:ascii="宋体" w:hAnsi="宋体"/>
                <w:color w:val="000000"/>
                <w:sz w:val="18"/>
                <w:szCs w:val="18"/>
                <w:lang w:eastAsia="zh-CN"/>
              </w:rPr>
              <w:t>（</w:t>
            </w:r>
            <w:r>
              <w:rPr>
                <w:rFonts w:hint="eastAsia" w:ascii="宋体" w:hAnsi="宋体"/>
                <w:color w:val="000000"/>
                <w:sz w:val="18"/>
                <w:szCs w:val="18"/>
                <w:lang w:val="en-US" w:eastAsia="zh-CN"/>
              </w:rPr>
              <w:t>8）金融衍生工具市场；</w:t>
            </w:r>
          </w:p>
          <w:p w14:paraId="7910EC8D">
            <w:pPr>
              <w:adjustRightInd w:val="0"/>
              <w:snapToGrid w:val="0"/>
              <w:spacing w:line="276" w:lineRule="auto"/>
              <w:rPr>
                <w:rFonts w:hint="eastAsia" w:ascii="宋体" w:hAnsi="宋体"/>
                <w:color w:val="000000"/>
                <w:sz w:val="18"/>
                <w:szCs w:val="18"/>
                <w:lang w:val="en-US" w:eastAsia="zh-CN"/>
              </w:rPr>
            </w:pPr>
            <w:r>
              <w:rPr>
                <w:rFonts w:hint="eastAsia" w:ascii="宋体" w:hAnsi="宋体"/>
                <w:color w:val="000000"/>
                <w:sz w:val="18"/>
                <w:szCs w:val="18"/>
                <w:lang w:val="en-US" w:eastAsia="zh-CN"/>
              </w:rPr>
              <w:t>（9）货币供给与需求；</w:t>
            </w:r>
          </w:p>
          <w:p w14:paraId="0A74A6AE">
            <w:pPr>
              <w:adjustRightInd w:val="0"/>
              <w:snapToGrid w:val="0"/>
              <w:spacing w:line="276" w:lineRule="auto"/>
              <w:rPr>
                <w:rFonts w:hint="eastAsia" w:ascii="宋体" w:hAnsi="宋体"/>
                <w:color w:val="000000"/>
                <w:sz w:val="18"/>
                <w:szCs w:val="18"/>
                <w:lang w:val="en-US" w:eastAsia="zh-CN"/>
              </w:rPr>
            </w:pPr>
            <w:r>
              <w:rPr>
                <w:rFonts w:hint="eastAsia" w:ascii="宋体" w:hAnsi="宋体"/>
                <w:color w:val="000000"/>
                <w:sz w:val="18"/>
                <w:szCs w:val="18"/>
                <w:lang w:val="en-US" w:eastAsia="zh-CN"/>
              </w:rPr>
              <w:t>（10）通货膨胀与通货紧缩；</w:t>
            </w:r>
          </w:p>
          <w:p w14:paraId="337C5BCF">
            <w:pPr>
              <w:adjustRightInd w:val="0"/>
              <w:snapToGrid w:val="0"/>
              <w:spacing w:line="276" w:lineRule="auto"/>
              <w:rPr>
                <w:rFonts w:hint="eastAsia" w:ascii="宋体" w:hAnsi="宋体"/>
                <w:color w:val="000000"/>
                <w:sz w:val="18"/>
                <w:szCs w:val="18"/>
                <w:lang w:val="en-US" w:eastAsia="zh-CN"/>
              </w:rPr>
            </w:pPr>
            <w:r>
              <w:rPr>
                <w:rFonts w:hint="eastAsia" w:ascii="宋体" w:hAnsi="宋体"/>
                <w:color w:val="000000"/>
                <w:sz w:val="18"/>
                <w:szCs w:val="18"/>
                <w:lang w:val="en-US" w:eastAsia="zh-CN"/>
              </w:rPr>
              <w:t>（11）货币政策；</w:t>
            </w:r>
          </w:p>
          <w:p w14:paraId="5B1D090C">
            <w:pPr>
              <w:adjustRightInd w:val="0"/>
              <w:snapToGrid w:val="0"/>
              <w:spacing w:line="276" w:lineRule="auto"/>
              <w:rPr>
                <w:rFonts w:hint="eastAsia" w:ascii="宋体" w:hAnsi="宋体"/>
                <w:color w:val="000000"/>
                <w:sz w:val="18"/>
                <w:szCs w:val="18"/>
                <w:lang w:val="en-US" w:eastAsia="zh-CN"/>
              </w:rPr>
            </w:pPr>
            <w:r>
              <w:rPr>
                <w:rFonts w:hint="eastAsia" w:ascii="宋体" w:hAnsi="宋体"/>
                <w:color w:val="000000"/>
                <w:sz w:val="18"/>
                <w:szCs w:val="18"/>
                <w:lang w:val="en-US" w:eastAsia="zh-CN"/>
              </w:rPr>
              <w:t>（12）国际金融。</w:t>
            </w:r>
          </w:p>
        </w:tc>
        <w:tc>
          <w:tcPr>
            <w:tcW w:w="2512" w:type="dxa"/>
          </w:tcPr>
          <w:p w14:paraId="612DC8B9">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1A75D13B">
            <w:pPr>
              <w:adjustRightInd w:val="0"/>
              <w:snapToGrid w:val="0"/>
              <w:spacing w:line="276" w:lineRule="auto"/>
              <w:rPr>
                <w:rFonts w:ascii="宋体" w:hAnsi="宋体"/>
                <w:color w:val="000000"/>
                <w:sz w:val="18"/>
                <w:szCs w:val="18"/>
              </w:rPr>
            </w:pPr>
            <w:r>
              <w:rPr>
                <w:rFonts w:hint="eastAsia" w:ascii="宋体" w:hAnsi="宋体"/>
                <w:color w:val="000000"/>
                <w:sz w:val="18"/>
                <w:szCs w:val="18"/>
              </w:rPr>
              <w:t>（2）教学方法：结合学生特点，采用情景教学、案例教学、实训等教学方法；融入课程思政，立德树人贯穿课程始终。</w:t>
            </w:r>
          </w:p>
          <w:p w14:paraId="07DBEEB6">
            <w:pPr>
              <w:adjustRightInd w:val="0"/>
              <w:snapToGrid w:val="0"/>
              <w:spacing w:line="276" w:lineRule="auto"/>
              <w:rPr>
                <w:rFonts w:ascii="宋体" w:hAnsi="宋体"/>
                <w:color w:val="000000"/>
                <w:sz w:val="18"/>
                <w:szCs w:val="18"/>
              </w:rPr>
            </w:pPr>
            <w:r>
              <w:rPr>
                <w:rFonts w:hint="eastAsia" w:ascii="宋体" w:hAnsi="宋体"/>
                <w:color w:val="000000"/>
                <w:sz w:val="18"/>
                <w:szCs w:val="18"/>
              </w:rPr>
              <w:t>（3）师资要求：担任本课程的教师应该具备扎实的专业知识，能够理论联系实际，深入浅出的教学。。</w:t>
            </w:r>
          </w:p>
          <w:p w14:paraId="09003DBF">
            <w:pPr>
              <w:adjustRightInd w:val="0"/>
              <w:snapToGrid w:val="0"/>
              <w:spacing w:line="276" w:lineRule="auto"/>
              <w:rPr>
                <w:rFonts w:ascii="宋体" w:hAnsi="宋体" w:cs="宋体"/>
                <w:color w:val="000000" w:themeColor="text1"/>
                <w:sz w:val="18"/>
                <w:szCs w:val="18"/>
              </w:rPr>
            </w:pPr>
            <w:r>
              <w:rPr>
                <w:rFonts w:hint="eastAsia" w:ascii="宋体" w:hAnsi="宋体"/>
                <w:color w:val="000000"/>
                <w:sz w:val="18"/>
                <w:szCs w:val="18"/>
              </w:rPr>
              <w:t>（4）课程考核：</w:t>
            </w:r>
            <w:r>
              <w:rPr>
                <w:rFonts w:hint="eastAsia" w:asciiTheme="minorEastAsia" w:hAnsiTheme="minorEastAsia" w:eastAsiaTheme="minorEastAsia" w:cstheme="minorEastAsia"/>
                <w:sz w:val="18"/>
                <w:szCs w:val="18"/>
              </w:rPr>
              <w:t>采用过程考核与结果考核相结合。过程考核根据考勤、学习态度、课堂检测、课后作业评定；占总成绩的30%，期末闭卷考试占总成绩的70%。</w:t>
            </w:r>
          </w:p>
        </w:tc>
      </w:tr>
      <w:tr w14:paraId="2AFF7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dxa"/>
            <w:vAlign w:val="center"/>
          </w:tcPr>
          <w:p w14:paraId="2AD51AA5">
            <w:pPr>
              <w:adjustRightInd w:val="0"/>
              <w:snapToGrid w:val="0"/>
              <w:spacing w:line="276" w:lineRule="auto"/>
              <w:rPr>
                <w:rFonts w:ascii="宋体" w:hAnsi="宋体" w:cs="宋体"/>
                <w:sz w:val="18"/>
                <w:szCs w:val="18"/>
              </w:rPr>
            </w:pPr>
            <w:r>
              <w:rPr>
                <w:rFonts w:hint="eastAsia" w:ascii="宋体" w:hAnsi="宋体"/>
                <w:sz w:val="18"/>
                <w:szCs w:val="18"/>
              </w:rPr>
              <w:t>基础会计</w:t>
            </w:r>
          </w:p>
        </w:tc>
        <w:tc>
          <w:tcPr>
            <w:tcW w:w="2865" w:type="dxa"/>
          </w:tcPr>
          <w:p w14:paraId="3612B60C">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6ADE841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培养学生严谨、认真的工作态度，爱岗敬业的精神，树立良好的职业道德观，形成良好的职业素养。</w:t>
            </w:r>
          </w:p>
          <w:p w14:paraId="0D05118D">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5A3831E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使学生了解会计基本法规制度及国家财经政策，了解会计的基本概念、职能与特点；掌握会计要素、会计科目、会计账户、会计等式、借贷记账法相关内容，掌握会计核算的方法，掌握填制和审核凭证、登记账簿、编制会计报表的方法。</w:t>
            </w:r>
          </w:p>
          <w:p w14:paraId="091A6554">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61063BDD">
            <w:pPr>
              <w:snapToGrid w:val="0"/>
              <w:rPr>
                <w:rFonts w:ascii="宋体" w:hAnsi="宋体"/>
                <w:sz w:val="18"/>
                <w:szCs w:val="18"/>
              </w:rPr>
            </w:pPr>
            <w:r>
              <w:rPr>
                <w:rFonts w:hint="eastAsia" w:asciiTheme="minorEastAsia" w:hAnsiTheme="minorEastAsia" w:eastAsiaTheme="minorEastAsia" w:cstheme="minorEastAsia"/>
                <w:sz w:val="18"/>
                <w:szCs w:val="18"/>
              </w:rPr>
              <w:t>能填制与审核原始凭证，对企业经济业务进行分析，并运用借贷记账法进行会计核算，编制记账凭证；能根据会计凭证正确登记账簿，并进行对账与结账，能编制简要的会计报表；具备一定的分析和利用会计信息的能力。</w:t>
            </w:r>
          </w:p>
        </w:tc>
        <w:tc>
          <w:tcPr>
            <w:tcW w:w="2370" w:type="dxa"/>
          </w:tcPr>
          <w:p w14:paraId="009ECD0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（1）会计概述；</w:t>
            </w:r>
          </w:p>
          <w:p w14:paraId="7B42D34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（2）会计要素与会计科目；</w:t>
            </w:r>
          </w:p>
          <w:p w14:paraId="42E5504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（3）会计记账方法</w:t>
            </w:r>
          </w:p>
          <w:p w14:paraId="749DC06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（4）借贷记账法下的账务处理（资金筹集业务、供应过程业务、生产业务、销售业务、利润分配业务的账务处理）；</w:t>
            </w:r>
          </w:p>
          <w:p w14:paraId="34C4425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（5）会计凭证的概念、作用、种类、传递与保管；</w:t>
            </w:r>
          </w:p>
          <w:p w14:paraId="2B7EFEB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（6）会计账簿；</w:t>
            </w:r>
          </w:p>
          <w:p w14:paraId="2AD6890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（7）财务处理程序；</w:t>
            </w:r>
          </w:p>
          <w:p w14:paraId="5290DAA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（8）资产清查；</w:t>
            </w:r>
          </w:p>
          <w:p w14:paraId="3A7D1EF7">
            <w:pPr>
              <w:snapToGrid w:val="0"/>
              <w:rPr>
                <w:rFonts w:ascii="宋体" w:hAnsi="宋体"/>
                <w:sz w:val="18"/>
                <w:szCs w:val="18"/>
              </w:rPr>
            </w:pPr>
            <w:r>
              <w:rPr>
                <w:rFonts w:hint="eastAsia" w:asciiTheme="minorEastAsia" w:hAnsiTheme="minorEastAsia" w:eastAsiaTheme="minorEastAsia" w:cstheme="minorEastAsia"/>
                <w:sz w:val="18"/>
                <w:szCs w:val="18"/>
              </w:rPr>
              <w:t>（9）财务报表。</w:t>
            </w:r>
          </w:p>
        </w:tc>
        <w:tc>
          <w:tcPr>
            <w:tcW w:w="2512" w:type="dxa"/>
          </w:tcPr>
          <w:p w14:paraId="7F3FA7E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（1）教学条件：授课主要在多媒体教室进行；准备发票、记账凭证、账簿等教学辅助用品。</w:t>
            </w:r>
          </w:p>
          <w:p w14:paraId="7D53ABA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（2）教学方法：结合学生特点，主要采用案例分析法、任务驱动法教学；融入课程思政，将财经职业道德贯穿课堂始终。</w:t>
            </w:r>
          </w:p>
          <w:p w14:paraId="0424452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（3）师资要求：担任本课程的教师应该具备扎实的专业知识，能够理论联系实际。</w:t>
            </w:r>
          </w:p>
          <w:p w14:paraId="7FB1FAAB">
            <w:pPr>
              <w:snapToGrid w:val="0"/>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（4）课程考核：采用过程考核与结果考核相结合。过程考核根据考勤、学习态度、课堂检测、课后作业评定；占总成绩的30%，期末闭卷考试占总成绩的70%。</w:t>
            </w:r>
          </w:p>
        </w:tc>
      </w:tr>
      <w:tr w14:paraId="6C12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dxa"/>
            <w:vAlign w:val="center"/>
          </w:tcPr>
          <w:p w14:paraId="37C36165">
            <w:pPr>
              <w:adjustRightInd w:val="0"/>
              <w:snapToGrid w:val="0"/>
              <w:spacing w:line="276" w:lineRule="auto"/>
              <w:rPr>
                <w:rFonts w:ascii="宋体" w:hAnsi="宋体" w:cs="宋体"/>
                <w:sz w:val="18"/>
                <w:szCs w:val="18"/>
              </w:rPr>
            </w:pPr>
            <w:r>
              <w:rPr>
                <w:rFonts w:hint="eastAsia" w:ascii="宋体" w:hAnsi="宋体" w:cs="宋体"/>
                <w:sz w:val="18"/>
                <w:szCs w:val="18"/>
              </w:rPr>
              <w:t>金融服务礼仪</w:t>
            </w:r>
            <w:r>
              <w:rPr>
                <w:rFonts w:hint="eastAsia" w:ascii="黑体" w:hAnsi="黑体" w:eastAsia="黑体"/>
                <w:color w:val="000000" w:themeColor="text1"/>
                <w:szCs w:val="21"/>
              </w:rPr>
              <w:t>★</w:t>
            </w:r>
          </w:p>
        </w:tc>
        <w:tc>
          <w:tcPr>
            <w:tcW w:w="2865" w:type="dxa"/>
          </w:tcPr>
          <w:p w14:paraId="5FB3F272">
            <w:pPr>
              <w:adjustRightInd w:val="0"/>
              <w:snapToGrid w:val="0"/>
              <w:spacing w:line="276" w:lineRule="auto"/>
              <w:rPr>
                <w:rFonts w:ascii="宋体" w:hAnsi="宋体" w:cs="宋体"/>
                <w:b/>
                <w:bCs/>
                <w:sz w:val="18"/>
                <w:szCs w:val="18"/>
              </w:rPr>
            </w:pPr>
            <w:r>
              <w:rPr>
                <w:rFonts w:hint="eastAsia" w:ascii="宋体" w:hAnsi="宋体" w:cs="宋体"/>
                <w:b/>
                <w:bCs/>
                <w:sz w:val="18"/>
                <w:szCs w:val="18"/>
              </w:rPr>
              <w:t>素质目标：</w:t>
            </w:r>
          </w:p>
          <w:p w14:paraId="2A0AB85D">
            <w:pPr>
              <w:adjustRightInd w:val="0"/>
              <w:snapToGrid w:val="0"/>
              <w:spacing w:line="276" w:lineRule="auto"/>
              <w:rPr>
                <w:rFonts w:ascii="宋体" w:hAnsi="宋体" w:cs="宋体"/>
                <w:sz w:val="18"/>
                <w:szCs w:val="18"/>
              </w:rPr>
            </w:pPr>
            <w:r>
              <w:rPr>
                <w:rFonts w:hint="eastAsia" w:ascii="宋体" w:hAnsi="宋体" w:cs="宋体"/>
                <w:sz w:val="18"/>
                <w:szCs w:val="18"/>
              </w:rPr>
              <w:t>培养学生的礼仪修养；并能够自觉指导实践，让礼仪成为一种习惯。</w:t>
            </w:r>
          </w:p>
          <w:p w14:paraId="7DAE84B7">
            <w:pPr>
              <w:adjustRightInd w:val="0"/>
              <w:snapToGrid w:val="0"/>
              <w:spacing w:line="276" w:lineRule="auto"/>
              <w:rPr>
                <w:rFonts w:ascii="宋体" w:hAnsi="宋体" w:cs="宋体"/>
                <w:b/>
                <w:bCs/>
                <w:sz w:val="18"/>
                <w:szCs w:val="18"/>
              </w:rPr>
            </w:pPr>
            <w:r>
              <w:rPr>
                <w:rFonts w:hint="eastAsia" w:ascii="宋体" w:hAnsi="宋体" w:cs="宋体"/>
                <w:b/>
                <w:bCs/>
                <w:sz w:val="18"/>
                <w:szCs w:val="18"/>
              </w:rPr>
              <w:t>知识目标：</w:t>
            </w:r>
          </w:p>
          <w:p w14:paraId="465DC50D">
            <w:pPr>
              <w:adjustRightInd w:val="0"/>
              <w:snapToGrid w:val="0"/>
              <w:spacing w:line="276" w:lineRule="auto"/>
              <w:rPr>
                <w:rFonts w:ascii="宋体" w:hAnsi="宋体" w:cs="宋体"/>
                <w:sz w:val="18"/>
                <w:szCs w:val="18"/>
              </w:rPr>
            </w:pPr>
            <w:r>
              <w:rPr>
                <w:rFonts w:hint="eastAsia" w:ascii="宋体" w:hAnsi="宋体" w:cs="宋体"/>
                <w:sz w:val="18"/>
                <w:szCs w:val="18"/>
              </w:rPr>
              <w:t>通过本课程的学习，使学生掌握金融服务活动各环节和场合的礼仪规范。</w:t>
            </w:r>
          </w:p>
          <w:p w14:paraId="6D1B5AFF">
            <w:pPr>
              <w:adjustRightInd w:val="0"/>
              <w:snapToGrid w:val="0"/>
              <w:spacing w:line="276" w:lineRule="auto"/>
              <w:rPr>
                <w:rFonts w:ascii="宋体" w:hAnsi="宋体" w:cs="宋体"/>
                <w:b/>
                <w:bCs/>
                <w:sz w:val="18"/>
                <w:szCs w:val="18"/>
              </w:rPr>
            </w:pPr>
            <w:r>
              <w:rPr>
                <w:rFonts w:hint="eastAsia" w:ascii="宋体" w:hAnsi="宋体" w:cs="宋体"/>
                <w:b/>
                <w:bCs/>
                <w:sz w:val="18"/>
                <w:szCs w:val="18"/>
              </w:rPr>
              <w:t>能力目标：</w:t>
            </w:r>
          </w:p>
          <w:p w14:paraId="3F9E54C3">
            <w:pPr>
              <w:adjustRightInd w:val="0"/>
              <w:snapToGrid w:val="0"/>
              <w:spacing w:line="276" w:lineRule="auto"/>
              <w:rPr>
                <w:rFonts w:ascii="宋体" w:hAnsi="宋体" w:cs="宋体"/>
                <w:sz w:val="18"/>
                <w:szCs w:val="18"/>
              </w:rPr>
            </w:pPr>
            <w:r>
              <w:rPr>
                <w:rFonts w:hint="eastAsia" w:ascii="宋体" w:hAnsi="宋体" w:cs="宋体"/>
                <w:sz w:val="18"/>
                <w:szCs w:val="18"/>
              </w:rPr>
              <w:t>能将礼仪贯彻到“学习”、“生活”、“工作” 、“接人待物”方方面面，提升学生综合职业素养。</w:t>
            </w:r>
          </w:p>
          <w:p w14:paraId="3F42581B">
            <w:pPr>
              <w:adjustRightInd w:val="0"/>
              <w:snapToGrid w:val="0"/>
              <w:spacing w:line="276" w:lineRule="auto"/>
              <w:rPr>
                <w:rFonts w:ascii="宋体" w:hAnsi="宋体" w:cs="宋体"/>
                <w:color w:val="FF0000"/>
                <w:sz w:val="18"/>
                <w:szCs w:val="18"/>
              </w:rPr>
            </w:pPr>
          </w:p>
        </w:tc>
        <w:tc>
          <w:tcPr>
            <w:tcW w:w="2370" w:type="dxa"/>
          </w:tcPr>
          <w:p w14:paraId="630C9F83">
            <w:pPr>
              <w:adjustRightInd w:val="0"/>
              <w:snapToGrid w:val="0"/>
              <w:spacing w:line="276" w:lineRule="auto"/>
              <w:rPr>
                <w:rFonts w:ascii="宋体" w:hAnsi="宋体"/>
                <w:color w:val="000000"/>
                <w:sz w:val="18"/>
                <w:szCs w:val="18"/>
              </w:rPr>
            </w:pPr>
            <w:r>
              <w:rPr>
                <w:rFonts w:hint="eastAsia" w:ascii="宋体" w:hAnsi="宋体"/>
                <w:color w:val="000000"/>
                <w:sz w:val="18"/>
                <w:szCs w:val="18"/>
              </w:rPr>
              <w:t>（1）金融服务礼仪概述；</w:t>
            </w:r>
          </w:p>
          <w:p w14:paraId="5F5FA1C8">
            <w:pPr>
              <w:adjustRightInd w:val="0"/>
              <w:snapToGrid w:val="0"/>
              <w:spacing w:line="276" w:lineRule="auto"/>
              <w:rPr>
                <w:rFonts w:ascii="宋体" w:hAnsi="宋体"/>
                <w:color w:val="000000"/>
                <w:sz w:val="18"/>
                <w:szCs w:val="18"/>
              </w:rPr>
            </w:pPr>
            <w:r>
              <w:rPr>
                <w:rFonts w:hint="eastAsia" w:ascii="宋体" w:hAnsi="宋体"/>
                <w:color w:val="000000"/>
                <w:sz w:val="18"/>
                <w:szCs w:val="18"/>
              </w:rPr>
              <w:t>（2）仪容礼仪；</w:t>
            </w:r>
          </w:p>
          <w:p w14:paraId="66BE235E">
            <w:pPr>
              <w:adjustRightInd w:val="0"/>
              <w:snapToGrid w:val="0"/>
              <w:spacing w:line="276" w:lineRule="auto"/>
              <w:rPr>
                <w:rFonts w:ascii="宋体" w:hAnsi="宋体"/>
                <w:color w:val="000000"/>
                <w:sz w:val="18"/>
                <w:szCs w:val="18"/>
              </w:rPr>
            </w:pPr>
            <w:r>
              <w:rPr>
                <w:rFonts w:hint="eastAsia" w:ascii="宋体" w:hAnsi="宋体"/>
                <w:color w:val="000000"/>
                <w:sz w:val="18"/>
                <w:szCs w:val="18"/>
              </w:rPr>
              <w:t>（3）仪态礼仪；</w:t>
            </w:r>
          </w:p>
          <w:p w14:paraId="21F2B40E">
            <w:pPr>
              <w:adjustRightInd w:val="0"/>
              <w:snapToGrid w:val="0"/>
              <w:spacing w:line="276" w:lineRule="auto"/>
              <w:rPr>
                <w:rFonts w:ascii="宋体" w:hAnsi="宋体"/>
                <w:color w:val="000000"/>
                <w:sz w:val="18"/>
                <w:szCs w:val="18"/>
              </w:rPr>
            </w:pPr>
            <w:r>
              <w:rPr>
                <w:rFonts w:hint="eastAsia" w:ascii="宋体" w:hAnsi="宋体"/>
                <w:color w:val="000000"/>
                <w:sz w:val="18"/>
                <w:szCs w:val="18"/>
              </w:rPr>
              <w:t>（4）着装礼仪；</w:t>
            </w:r>
          </w:p>
          <w:p w14:paraId="46F9EAA7">
            <w:pPr>
              <w:adjustRightInd w:val="0"/>
              <w:snapToGrid w:val="0"/>
              <w:spacing w:line="276" w:lineRule="auto"/>
              <w:rPr>
                <w:rFonts w:ascii="宋体" w:hAnsi="宋体"/>
                <w:color w:val="000000"/>
                <w:sz w:val="18"/>
                <w:szCs w:val="18"/>
              </w:rPr>
            </w:pPr>
            <w:r>
              <w:rPr>
                <w:rFonts w:hint="eastAsia" w:ascii="宋体" w:hAnsi="宋体"/>
                <w:color w:val="000000"/>
                <w:sz w:val="18"/>
                <w:szCs w:val="18"/>
              </w:rPr>
              <w:t>（5）语言礼仪；</w:t>
            </w:r>
          </w:p>
          <w:p w14:paraId="30CE4909">
            <w:pPr>
              <w:adjustRightInd w:val="0"/>
              <w:snapToGrid w:val="0"/>
              <w:spacing w:line="276" w:lineRule="auto"/>
              <w:rPr>
                <w:rFonts w:ascii="宋体" w:hAnsi="宋体"/>
                <w:color w:val="000000"/>
                <w:sz w:val="18"/>
                <w:szCs w:val="18"/>
              </w:rPr>
            </w:pPr>
            <w:r>
              <w:rPr>
                <w:rFonts w:hint="eastAsia" w:ascii="宋体" w:hAnsi="宋体"/>
                <w:color w:val="000000"/>
                <w:sz w:val="18"/>
                <w:szCs w:val="18"/>
              </w:rPr>
              <w:t>（6）日常交际礼仪；</w:t>
            </w:r>
          </w:p>
          <w:p w14:paraId="4F55B433">
            <w:pPr>
              <w:adjustRightInd w:val="0"/>
              <w:snapToGrid w:val="0"/>
              <w:spacing w:line="276" w:lineRule="auto"/>
              <w:rPr>
                <w:rFonts w:ascii="宋体" w:hAnsi="宋体"/>
                <w:color w:val="000000"/>
                <w:sz w:val="18"/>
                <w:szCs w:val="18"/>
              </w:rPr>
            </w:pPr>
            <w:r>
              <w:rPr>
                <w:rFonts w:hint="eastAsia" w:ascii="宋体" w:hAnsi="宋体"/>
                <w:color w:val="000000"/>
                <w:sz w:val="18"/>
                <w:szCs w:val="18"/>
              </w:rPr>
              <w:t>（7）金融服务岗位礼仪</w:t>
            </w:r>
          </w:p>
          <w:p w14:paraId="77B6F454">
            <w:pPr>
              <w:adjustRightInd w:val="0"/>
              <w:snapToGrid w:val="0"/>
              <w:spacing w:line="276" w:lineRule="auto"/>
              <w:rPr>
                <w:rFonts w:ascii="宋体" w:hAnsi="宋体" w:cs="宋体"/>
                <w:color w:val="FF0000"/>
                <w:sz w:val="18"/>
                <w:szCs w:val="18"/>
              </w:rPr>
            </w:pPr>
            <w:r>
              <w:rPr>
                <w:rFonts w:hint="eastAsia" w:ascii="宋体" w:hAnsi="宋体"/>
                <w:color w:val="000000"/>
                <w:sz w:val="18"/>
                <w:szCs w:val="18"/>
              </w:rPr>
              <w:t>（7）金融服务营销礼仪；</w:t>
            </w:r>
          </w:p>
        </w:tc>
        <w:tc>
          <w:tcPr>
            <w:tcW w:w="2512" w:type="dxa"/>
          </w:tcPr>
          <w:p w14:paraId="3341043A">
            <w:pPr>
              <w:snapToGrid w:val="0"/>
              <w:rPr>
                <w:rFonts w:ascii="宋体" w:hAnsi="宋体"/>
                <w:color w:val="000000"/>
                <w:sz w:val="18"/>
                <w:szCs w:val="18"/>
              </w:rPr>
            </w:pPr>
            <w:r>
              <w:rPr>
                <w:rFonts w:hint="eastAsia" w:ascii="宋体" w:hAnsi="宋体"/>
                <w:color w:val="000000"/>
                <w:sz w:val="18"/>
                <w:szCs w:val="18"/>
              </w:rPr>
              <w:t>（1）教学条件：授课主要在多媒体教室及礼仪实训室进行，礼仪实训室需配备全身镜等教学辅助用品。</w:t>
            </w:r>
          </w:p>
          <w:p w14:paraId="260D7BF7">
            <w:pPr>
              <w:snapToGrid w:val="0"/>
              <w:rPr>
                <w:rFonts w:ascii="宋体" w:hAnsi="宋体"/>
                <w:color w:val="000000"/>
                <w:sz w:val="18"/>
                <w:szCs w:val="18"/>
              </w:rPr>
            </w:pPr>
            <w:r>
              <w:rPr>
                <w:rFonts w:hint="eastAsia" w:ascii="宋体" w:hAnsi="宋体"/>
                <w:color w:val="000000"/>
                <w:sz w:val="18"/>
                <w:szCs w:val="18"/>
              </w:rPr>
              <w:t>（2）教学方法：坚持以学生为中心，结合讲授、案例分析、现场模拟、角色表演、视频观看、实训等多种教学手段，同时融入课程思政，将立德树人贯穿始终，使学生感知并能自觉运用礼仪。</w:t>
            </w:r>
          </w:p>
          <w:p w14:paraId="057BFB1E">
            <w:pPr>
              <w:snapToGrid w:val="0"/>
              <w:rPr>
                <w:rFonts w:ascii="宋体" w:hAnsi="宋体"/>
                <w:color w:val="000000"/>
                <w:sz w:val="18"/>
                <w:szCs w:val="18"/>
              </w:rPr>
            </w:pPr>
            <w:r>
              <w:rPr>
                <w:rFonts w:hint="eastAsia" w:ascii="宋体" w:hAnsi="宋体"/>
                <w:color w:val="000000"/>
                <w:sz w:val="18"/>
                <w:szCs w:val="18"/>
              </w:rPr>
              <w:t>（3）师资要求：担任本课程的教师应该具备良好的职业形象与礼仪修养。</w:t>
            </w:r>
          </w:p>
          <w:p w14:paraId="2EA1453B">
            <w:pPr>
              <w:adjustRightInd w:val="0"/>
              <w:snapToGrid w:val="0"/>
              <w:spacing w:line="276" w:lineRule="auto"/>
              <w:rPr>
                <w:rFonts w:ascii="宋体" w:hAnsi="宋体" w:cs="宋体"/>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4669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Align w:val="center"/>
          </w:tcPr>
          <w:p w14:paraId="26BFB1DD">
            <w:pPr>
              <w:adjustRightInd w:val="0"/>
              <w:snapToGrid w:val="0"/>
              <w:spacing w:line="276" w:lineRule="auto"/>
              <w:rPr>
                <w:rFonts w:ascii="宋体" w:hAnsi="宋体"/>
                <w:sz w:val="18"/>
                <w:szCs w:val="18"/>
              </w:rPr>
            </w:pPr>
            <w:r>
              <w:rPr>
                <w:rFonts w:hint="eastAsia" w:ascii="宋体" w:hAnsi="宋体"/>
                <w:sz w:val="18"/>
                <w:szCs w:val="18"/>
              </w:rPr>
              <w:t>商业银行经营管理</w:t>
            </w:r>
          </w:p>
        </w:tc>
        <w:tc>
          <w:tcPr>
            <w:tcW w:w="2865" w:type="dxa"/>
          </w:tcPr>
          <w:p w14:paraId="66EB34A5">
            <w:pPr>
              <w:snapToGrid w:val="0"/>
              <w:jc w:val="left"/>
              <w:rPr>
                <w:rFonts w:ascii="宋体" w:hAnsi="宋体"/>
                <w:b/>
                <w:bCs/>
                <w:color w:val="000000"/>
                <w:sz w:val="18"/>
                <w:szCs w:val="18"/>
              </w:rPr>
            </w:pPr>
            <w:r>
              <w:rPr>
                <w:rFonts w:hint="eastAsia" w:ascii="宋体" w:hAnsi="宋体"/>
                <w:b/>
                <w:bCs/>
                <w:color w:val="000000"/>
                <w:sz w:val="18"/>
                <w:szCs w:val="18"/>
              </w:rPr>
              <w:t>素质目标：</w:t>
            </w:r>
          </w:p>
          <w:p w14:paraId="3DFD829E">
            <w:pPr>
              <w:snapToGrid w:val="0"/>
              <w:jc w:val="left"/>
              <w:rPr>
                <w:rFonts w:ascii="宋体" w:hAnsi="宋体"/>
                <w:color w:val="000000"/>
                <w:sz w:val="18"/>
                <w:szCs w:val="18"/>
              </w:rPr>
            </w:pPr>
            <w:r>
              <w:rPr>
                <w:rFonts w:hint="eastAsia" w:ascii="宋体" w:hAnsi="宋体"/>
                <w:color w:val="000000"/>
                <w:sz w:val="18"/>
                <w:szCs w:val="18"/>
              </w:rPr>
              <w:t>培养学生认真、严谨的工作作风，培养学生组织协调能力和沟通交流能力，培养学生诚信敬业的职业品质。</w:t>
            </w:r>
          </w:p>
          <w:p w14:paraId="5739DF86">
            <w:pPr>
              <w:snapToGrid w:val="0"/>
              <w:jc w:val="left"/>
              <w:rPr>
                <w:rFonts w:ascii="宋体" w:hAnsi="宋体"/>
                <w:b/>
                <w:bCs/>
                <w:color w:val="000000"/>
                <w:sz w:val="18"/>
                <w:szCs w:val="18"/>
              </w:rPr>
            </w:pPr>
            <w:r>
              <w:rPr>
                <w:rFonts w:hint="eastAsia" w:ascii="宋体" w:hAnsi="宋体"/>
                <w:b/>
                <w:bCs/>
                <w:color w:val="000000"/>
                <w:sz w:val="18"/>
                <w:szCs w:val="18"/>
              </w:rPr>
              <w:t>知识目标：</w:t>
            </w:r>
          </w:p>
          <w:p w14:paraId="7D152BAB">
            <w:pPr>
              <w:snapToGrid w:val="0"/>
              <w:jc w:val="left"/>
              <w:rPr>
                <w:rFonts w:ascii="宋体" w:hAnsi="宋体"/>
                <w:color w:val="000000"/>
                <w:sz w:val="18"/>
                <w:szCs w:val="18"/>
              </w:rPr>
            </w:pPr>
            <w:r>
              <w:rPr>
                <w:rFonts w:hint="eastAsia" w:ascii="宋体" w:hAnsi="宋体"/>
                <w:color w:val="000000"/>
                <w:sz w:val="18"/>
                <w:szCs w:val="18"/>
              </w:rPr>
              <w:t>通过学习本课程，学生能掌握商业银行的各类业务，包括资产业务、 负债业务、传统的中间业务及其操作程序等，使学生具备商业银行从业人员所需的专业知识。</w:t>
            </w:r>
          </w:p>
          <w:p w14:paraId="2BDB6052">
            <w:pPr>
              <w:snapToGrid w:val="0"/>
              <w:jc w:val="left"/>
              <w:rPr>
                <w:rFonts w:ascii="宋体" w:hAnsi="宋体"/>
                <w:b/>
                <w:bCs/>
                <w:color w:val="000000"/>
                <w:sz w:val="18"/>
                <w:szCs w:val="18"/>
              </w:rPr>
            </w:pPr>
            <w:r>
              <w:rPr>
                <w:rFonts w:hint="eastAsia" w:ascii="宋体" w:hAnsi="宋体"/>
                <w:b/>
                <w:bCs/>
                <w:color w:val="000000"/>
                <w:sz w:val="18"/>
                <w:szCs w:val="18"/>
              </w:rPr>
              <w:t>能力目标：</w:t>
            </w:r>
          </w:p>
          <w:p w14:paraId="08F26E97">
            <w:pPr>
              <w:snapToGrid w:val="0"/>
              <w:jc w:val="left"/>
              <w:rPr>
                <w:rFonts w:ascii="宋体" w:hAnsi="宋体"/>
                <w:color w:val="000000"/>
                <w:sz w:val="18"/>
                <w:szCs w:val="18"/>
              </w:rPr>
            </w:pPr>
            <w:r>
              <w:rPr>
                <w:rFonts w:hint="eastAsia" w:ascii="宋体" w:hAnsi="宋体"/>
                <w:color w:val="000000"/>
                <w:sz w:val="18"/>
                <w:szCs w:val="18"/>
              </w:rPr>
              <w:t>能理论联系实际，运用所学理论知识、原理和方法分析银行经营管理实践，能初步进行银行各项业务管理。</w:t>
            </w:r>
          </w:p>
        </w:tc>
        <w:tc>
          <w:tcPr>
            <w:tcW w:w="2370" w:type="dxa"/>
          </w:tcPr>
          <w:p w14:paraId="01AC9EF4">
            <w:pPr>
              <w:snapToGrid w:val="0"/>
              <w:jc w:val="left"/>
              <w:rPr>
                <w:rFonts w:ascii="宋体" w:hAnsi="宋体"/>
                <w:color w:val="000000"/>
                <w:sz w:val="18"/>
                <w:szCs w:val="18"/>
              </w:rPr>
            </w:pPr>
            <w:r>
              <w:rPr>
                <w:rFonts w:hint="eastAsia" w:ascii="宋体" w:hAnsi="宋体"/>
                <w:color w:val="000000"/>
                <w:sz w:val="18"/>
                <w:szCs w:val="18"/>
              </w:rPr>
              <w:t>（1）商业银行概述</w:t>
            </w:r>
          </w:p>
          <w:p w14:paraId="7F7AED97">
            <w:pPr>
              <w:snapToGrid w:val="0"/>
              <w:jc w:val="left"/>
              <w:rPr>
                <w:rFonts w:ascii="宋体" w:hAnsi="宋体"/>
                <w:color w:val="000000"/>
                <w:sz w:val="18"/>
                <w:szCs w:val="18"/>
              </w:rPr>
            </w:pPr>
            <w:r>
              <w:rPr>
                <w:rFonts w:hint="eastAsia" w:ascii="宋体" w:hAnsi="宋体"/>
                <w:color w:val="000000"/>
                <w:sz w:val="18"/>
                <w:szCs w:val="18"/>
              </w:rPr>
              <w:t>（2）商业银行资本金管理</w:t>
            </w:r>
          </w:p>
          <w:p w14:paraId="2F8327E7">
            <w:pPr>
              <w:snapToGrid w:val="0"/>
              <w:jc w:val="left"/>
              <w:rPr>
                <w:rFonts w:ascii="宋体" w:hAnsi="宋体"/>
                <w:color w:val="000000"/>
                <w:sz w:val="18"/>
                <w:szCs w:val="18"/>
              </w:rPr>
            </w:pPr>
            <w:r>
              <w:rPr>
                <w:rFonts w:hint="eastAsia" w:ascii="宋体" w:hAnsi="宋体"/>
                <w:color w:val="000000"/>
                <w:sz w:val="18"/>
                <w:szCs w:val="18"/>
              </w:rPr>
              <w:t>（3）商业银行负债的管理</w:t>
            </w:r>
          </w:p>
          <w:p w14:paraId="0C1B3148">
            <w:pPr>
              <w:snapToGrid w:val="0"/>
              <w:jc w:val="left"/>
              <w:rPr>
                <w:rFonts w:ascii="宋体" w:hAnsi="宋体"/>
                <w:color w:val="000000"/>
                <w:sz w:val="18"/>
                <w:szCs w:val="18"/>
              </w:rPr>
            </w:pPr>
            <w:r>
              <w:rPr>
                <w:rFonts w:hint="eastAsia" w:ascii="宋体" w:hAnsi="宋体"/>
                <w:color w:val="000000"/>
                <w:sz w:val="18"/>
                <w:szCs w:val="18"/>
              </w:rPr>
              <w:t>（4）现金资产的管理</w:t>
            </w:r>
          </w:p>
          <w:p w14:paraId="5D3E95D4">
            <w:pPr>
              <w:snapToGrid w:val="0"/>
              <w:jc w:val="left"/>
              <w:rPr>
                <w:rFonts w:ascii="宋体" w:hAnsi="宋体"/>
                <w:color w:val="000000"/>
                <w:sz w:val="18"/>
                <w:szCs w:val="18"/>
              </w:rPr>
            </w:pPr>
            <w:r>
              <w:rPr>
                <w:rFonts w:hint="eastAsia" w:ascii="宋体" w:hAnsi="宋体"/>
                <w:color w:val="000000"/>
                <w:sz w:val="18"/>
                <w:szCs w:val="18"/>
              </w:rPr>
              <w:t>（5）商业银行贷款业务管理</w:t>
            </w:r>
          </w:p>
          <w:p w14:paraId="1080D926">
            <w:pPr>
              <w:snapToGrid w:val="0"/>
              <w:jc w:val="left"/>
              <w:rPr>
                <w:rFonts w:ascii="宋体" w:hAnsi="宋体"/>
                <w:color w:val="000000"/>
                <w:sz w:val="18"/>
                <w:szCs w:val="18"/>
              </w:rPr>
            </w:pPr>
            <w:r>
              <w:rPr>
                <w:rFonts w:hint="eastAsia" w:ascii="宋体" w:hAnsi="宋体"/>
                <w:color w:val="000000"/>
                <w:sz w:val="18"/>
                <w:szCs w:val="18"/>
              </w:rPr>
              <w:t>（6）商业银行证券投资管理</w:t>
            </w:r>
          </w:p>
          <w:p w14:paraId="3FDB488C">
            <w:pPr>
              <w:snapToGrid w:val="0"/>
              <w:jc w:val="left"/>
              <w:rPr>
                <w:rFonts w:ascii="宋体" w:hAnsi="宋体"/>
                <w:color w:val="000000"/>
                <w:sz w:val="18"/>
                <w:szCs w:val="18"/>
              </w:rPr>
            </w:pPr>
            <w:r>
              <w:rPr>
                <w:rFonts w:hint="eastAsia" w:ascii="宋体" w:hAnsi="宋体"/>
                <w:color w:val="000000"/>
                <w:sz w:val="18"/>
                <w:szCs w:val="18"/>
              </w:rPr>
              <w:t>（7）商业银行中间业务管理</w:t>
            </w:r>
          </w:p>
          <w:p w14:paraId="0475D3CA">
            <w:pPr>
              <w:snapToGrid w:val="0"/>
              <w:jc w:val="left"/>
              <w:rPr>
                <w:rFonts w:ascii="宋体" w:hAnsi="宋体"/>
                <w:color w:val="000000"/>
                <w:sz w:val="18"/>
                <w:szCs w:val="18"/>
              </w:rPr>
            </w:pPr>
            <w:r>
              <w:rPr>
                <w:rFonts w:hint="eastAsia" w:ascii="宋体" w:hAnsi="宋体"/>
                <w:color w:val="000000"/>
                <w:sz w:val="18"/>
                <w:szCs w:val="18"/>
              </w:rPr>
              <w:t>（8）商业银行中间业务管理</w:t>
            </w:r>
          </w:p>
          <w:p w14:paraId="262E100B">
            <w:pPr>
              <w:snapToGrid w:val="0"/>
              <w:jc w:val="left"/>
              <w:rPr>
                <w:rFonts w:ascii="宋体" w:hAnsi="宋体"/>
                <w:color w:val="000000"/>
                <w:sz w:val="18"/>
                <w:szCs w:val="18"/>
              </w:rPr>
            </w:pPr>
            <w:r>
              <w:rPr>
                <w:rFonts w:hint="eastAsia" w:ascii="宋体" w:hAnsi="宋体"/>
                <w:color w:val="000000"/>
                <w:sz w:val="18"/>
                <w:szCs w:val="18"/>
              </w:rPr>
              <w:t>（9）商业银行风险管理</w:t>
            </w:r>
          </w:p>
        </w:tc>
        <w:tc>
          <w:tcPr>
            <w:tcW w:w="2512" w:type="dxa"/>
          </w:tcPr>
          <w:p w14:paraId="0E24F0EB">
            <w:pPr>
              <w:snapToGrid w:val="0"/>
              <w:jc w:val="left"/>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79D1AAD1">
            <w:pPr>
              <w:snapToGrid w:val="0"/>
              <w:jc w:val="left"/>
              <w:rPr>
                <w:rFonts w:ascii="宋体" w:hAnsi="宋体"/>
                <w:color w:val="000000"/>
                <w:sz w:val="18"/>
                <w:szCs w:val="18"/>
              </w:rPr>
            </w:pPr>
            <w:r>
              <w:rPr>
                <w:rFonts w:hint="eastAsia" w:ascii="宋体" w:hAnsi="宋体"/>
                <w:color w:val="000000"/>
                <w:sz w:val="18"/>
                <w:szCs w:val="18"/>
              </w:rPr>
              <w:t>（2）教学方法：结合学生特点，采用案例教学、任务驱动教学、合作探究等教学方法；融入课程思政，立德树人贯穿课程始终。</w:t>
            </w:r>
          </w:p>
          <w:p w14:paraId="624A902A">
            <w:pPr>
              <w:snapToGrid w:val="0"/>
              <w:jc w:val="left"/>
              <w:rPr>
                <w:rFonts w:ascii="宋体" w:hAnsi="宋体"/>
                <w:color w:val="000000"/>
                <w:sz w:val="18"/>
                <w:szCs w:val="18"/>
              </w:rPr>
            </w:pPr>
            <w:r>
              <w:rPr>
                <w:rFonts w:hint="eastAsia" w:ascii="宋体" w:hAnsi="宋体"/>
                <w:color w:val="000000"/>
                <w:sz w:val="18"/>
                <w:szCs w:val="18"/>
              </w:rPr>
              <w:t>（3）师资要求：担任本课程的教师应该具备扎实的专业知识，能够理论联系实际，深入浅出的教学。</w:t>
            </w:r>
          </w:p>
          <w:p w14:paraId="4862E0BA">
            <w:pPr>
              <w:snapToGrid w:val="0"/>
              <w:jc w:val="left"/>
              <w:rPr>
                <w:rFonts w:ascii="宋体" w:hAnsi="宋体"/>
                <w:color w:val="000000"/>
                <w:sz w:val="18"/>
                <w:szCs w:val="18"/>
              </w:rPr>
            </w:pPr>
            <w:r>
              <w:rPr>
                <w:rFonts w:hint="eastAsia" w:ascii="宋体" w:hAnsi="宋体"/>
                <w:color w:val="000000"/>
                <w:sz w:val="18"/>
                <w:szCs w:val="18"/>
              </w:rPr>
              <w:t>（4）课程考核：采用过程考核与结果考核相结合，过程性考核根据考勤、课堂表现等评定，占总成绩的30%，期末考试占70%。</w:t>
            </w:r>
          </w:p>
        </w:tc>
      </w:tr>
      <w:tr w14:paraId="0779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Align w:val="center"/>
          </w:tcPr>
          <w:p w14:paraId="34E3D6D5">
            <w:pPr>
              <w:adjustRightInd w:val="0"/>
              <w:snapToGrid w:val="0"/>
              <w:spacing w:line="276" w:lineRule="auto"/>
              <w:rPr>
                <w:rFonts w:ascii="宋体" w:hAnsi="宋体"/>
                <w:sz w:val="18"/>
                <w:szCs w:val="18"/>
              </w:rPr>
            </w:pPr>
            <w:r>
              <w:rPr>
                <w:rFonts w:hint="eastAsia" w:ascii="宋体" w:hAnsi="宋体"/>
                <w:sz w:val="18"/>
                <w:szCs w:val="18"/>
              </w:rPr>
              <w:t>金融服务营销★</w:t>
            </w:r>
          </w:p>
        </w:tc>
        <w:tc>
          <w:tcPr>
            <w:tcW w:w="2865" w:type="dxa"/>
          </w:tcPr>
          <w:p w14:paraId="5543614A">
            <w:pPr>
              <w:snapToGrid w:val="0"/>
              <w:jc w:val="left"/>
              <w:rPr>
                <w:rFonts w:ascii="宋体" w:hAnsi="宋体"/>
                <w:b/>
                <w:bCs/>
                <w:color w:val="000000"/>
                <w:sz w:val="18"/>
                <w:szCs w:val="18"/>
              </w:rPr>
            </w:pPr>
            <w:r>
              <w:rPr>
                <w:rFonts w:hint="eastAsia" w:ascii="宋体" w:hAnsi="宋体"/>
                <w:b/>
                <w:bCs/>
                <w:color w:val="000000"/>
                <w:sz w:val="18"/>
                <w:szCs w:val="18"/>
              </w:rPr>
              <w:t>素质目标：</w:t>
            </w:r>
          </w:p>
          <w:p w14:paraId="347D0068">
            <w:pPr>
              <w:snapToGrid w:val="0"/>
              <w:jc w:val="left"/>
              <w:rPr>
                <w:rFonts w:ascii="宋体" w:hAnsi="宋体"/>
                <w:color w:val="000000"/>
                <w:sz w:val="18"/>
                <w:szCs w:val="18"/>
              </w:rPr>
            </w:pPr>
            <w:r>
              <w:rPr>
                <w:rFonts w:hint="eastAsia" w:ascii="宋体" w:hAnsi="宋体"/>
                <w:color w:val="000000"/>
                <w:sz w:val="18"/>
                <w:szCs w:val="18"/>
              </w:rPr>
              <w:t>培养学生的市场洞察能力和市场开拓能力，培养学生的服务意识及良好的金融从业职业道德和职业操守。</w:t>
            </w:r>
          </w:p>
          <w:p w14:paraId="76A2AE3B">
            <w:pPr>
              <w:snapToGrid w:val="0"/>
              <w:jc w:val="left"/>
              <w:rPr>
                <w:rFonts w:ascii="宋体" w:hAnsi="宋体"/>
                <w:b/>
                <w:bCs/>
                <w:color w:val="000000"/>
                <w:sz w:val="18"/>
                <w:szCs w:val="18"/>
              </w:rPr>
            </w:pPr>
            <w:r>
              <w:rPr>
                <w:rFonts w:hint="eastAsia" w:ascii="宋体" w:hAnsi="宋体"/>
                <w:b/>
                <w:bCs/>
                <w:color w:val="000000"/>
                <w:sz w:val="18"/>
                <w:szCs w:val="18"/>
              </w:rPr>
              <w:t>知识目标：</w:t>
            </w:r>
          </w:p>
          <w:p w14:paraId="3845BDCC">
            <w:pPr>
              <w:snapToGrid w:val="0"/>
              <w:jc w:val="left"/>
              <w:rPr>
                <w:rFonts w:ascii="宋体" w:hAnsi="宋体"/>
                <w:color w:val="000000"/>
                <w:sz w:val="18"/>
                <w:szCs w:val="18"/>
              </w:rPr>
            </w:pPr>
            <w:r>
              <w:rPr>
                <w:rFonts w:hint="eastAsia" w:ascii="宋体" w:hAnsi="宋体"/>
                <w:color w:val="000000"/>
                <w:sz w:val="18"/>
                <w:szCs w:val="18"/>
              </w:rPr>
              <w:t>通过本课程学习，学生能掌握金融服务营销的基本理论、基础知识，掌握金融产品营销策略、客户关系管理策略，掌握观察和分析金融营销实务问题的方法。</w:t>
            </w:r>
          </w:p>
          <w:p w14:paraId="13E05E12">
            <w:pPr>
              <w:snapToGrid w:val="0"/>
              <w:jc w:val="left"/>
              <w:rPr>
                <w:rFonts w:ascii="宋体" w:hAnsi="宋体"/>
                <w:b/>
                <w:bCs/>
                <w:color w:val="000000"/>
                <w:sz w:val="18"/>
                <w:szCs w:val="18"/>
              </w:rPr>
            </w:pPr>
            <w:r>
              <w:rPr>
                <w:rFonts w:hint="eastAsia" w:ascii="宋体" w:hAnsi="宋体"/>
                <w:b/>
                <w:bCs/>
                <w:color w:val="000000"/>
                <w:sz w:val="18"/>
                <w:szCs w:val="18"/>
              </w:rPr>
              <w:t>能力目标：</w:t>
            </w:r>
          </w:p>
          <w:p w14:paraId="35EDDC5C">
            <w:pPr>
              <w:snapToGrid w:val="0"/>
              <w:jc w:val="left"/>
              <w:rPr>
                <w:rFonts w:ascii="宋体" w:hAnsi="宋体"/>
                <w:color w:val="000000"/>
                <w:sz w:val="18"/>
                <w:szCs w:val="18"/>
              </w:rPr>
            </w:pPr>
            <w:r>
              <w:rPr>
                <w:rFonts w:hint="eastAsia" w:ascii="宋体" w:hAnsi="宋体"/>
                <w:color w:val="000000"/>
                <w:sz w:val="18"/>
                <w:szCs w:val="18"/>
              </w:rPr>
              <w:t>能策划金融营销活动，能有效的进行客户沟通，能开发潜在客户。</w:t>
            </w:r>
          </w:p>
          <w:p w14:paraId="04508608">
            <w:pPr>
              <w:snapToGrid w:val="0"/>
              <w:jc w:val="left"/>
              <w:rPr>
                <w:rFonts w:ascii="宋体" w:hAnsi="宋体"/>
                <w:color w:val="000000"/>
                <w:sz w:val="18"/>
                <w:szCs w:val="18"/>
              </w:rPr>
            </w:pPr>
          </w:p>
        </w:tc>
        <w:tc>
          <w:tcPr>
            <w:tcW w:w="2370" w:type="dxa"/>
          </w:tcPr>
          <w:p w14:paraId="7CE5B4D9">
            <w:pPr>
              <w:snapToGrid w:val="0"/>
              <w:jc w:val="left"/>
              <w:rPr>
                <w:rFonts w:ascii="宋体" w:hAnsi="宋体"/>
                <w:color w:val="000000"/>
                <w:sz w:val="18"/>
                <w:szCs w:val="18"/>
              </w:rPr>
            </w:pPr>
            <w:r>
              <w:rPr>
                <w:rFonts w:hint="eastAsia" w:ascii="宋体" w:hAnsi="宋体"/>
                <w:color w:val="000000"/>
                <w:sz w:val="18"/>
                <w:szCs w:val="18"/>
              </w:rPr>
              <w:t>（1）金融服务及评价；</w:t>
            </w:r>
          </w:p>
          <w:p w14:paraId="30CA3512">
            <w:pPr>
              <w:snapToGrid w:val="0"/>
              <w:jc w:val="left"/>
              <w:rPr>
                <w:rFonts w:ascii="宋体" w:hAnsi="宋体"/>
                <w:color w:val="000000"/>
                <w:sz w:val="18"/>
                <w:szCs w:val="18"/>
              </w:rPr>
            </w:pPr>
            <w:r>
              <w:rPr>
                <w:rFonts w:hint="eastAsia" w:ascii="宋体" w:hAnsi="宋体"/>
                <w:color w:val="000000"/>
                <w:sz w:val="18"/>
                <w:szCs w:val="18"/>
              </w:rPr>
              <w:t>（2）金融营销准备；</w:t>
            </w:r>
          </w:p>
          <w:p w14:paraId="4EE71732">
            <w:pPr>
              <w:snapToGrid w:val="0"/>
              <w:jc w:val="left"/>
              <w:rPr>
                <w:rFonts w:ascii="宋体" w:hAnsi="宋体"/>
                <w:color w:val="000000"/>
                <w:sz w:val="18"/>
                <w:szCs w:val="18"/>
              </w:rPr>
            </w:pPr>
            <w:r>
              <w:rPr>
                <w:rFonts w:hint="eastAsia" w:ascii="宋体" w:hAnsi="宋体"/>
                <w:color w:val="000000"/>
                <w:sz w:val="18"/>
                <w:szCs w:val="18"/>
              </w:rPr>
              <w:t>（3）金融营销能力；</w:t>
            </w:r>
          </w:p>
          <w:p w14:paraId="6A9667D7">
            <w:pPr>
              <w:snapToGrid w:val="0"/>
              <w:jc w:val="left"/>
              <w:rPr>
                <w:rFonts w:ascii="宋体" w:hAnsi="宋体"/>
                <w:color w:val="000000"/>
                <w:sz w:val="18"/>
                <w:szCs w:val="18"/>
              </w:rPr>
            </w:pPr>
            <w:r>
              <w:rPr>
                <w:rFonts w:hint="eastAsia" w:ascii="宋体" w:hAnsi="宋体"/>
                <w:color w:val="000000"/>
                <w:sz w:val="18"/>
                <w:szCs w:val="18"/>
              </w:rPr>
              <w:t>（4）金融营销技巧；</w:t>
            </w:r>
          </w:p>
          <w:p w14:paraId="1FFDE976">
            <w:pPr>
              <w:snapToGrid w:val="0"/>
              <w:jc w:val="left"/>
              <w:rPr>
                <w:rFonts w:ascii="宋体" w:hAnsi="宋体"/>
                <w:color w:val="000000"/>
                <w:sz w:val="18"/>
                <w:szCs w:val="18"/>
              </w:rPr>
            </w:pPr>
            <w:r>
              <w:rPr>
                <w:rFonts w:hint="eastAsia" w:ascii="宋体" w:hAnsi="宋体"/>
                <w:color w:val="000000"/>
                <w:sz w:val="18"/>
                <w:szCs w:val="18"/>
              </w:rPr>
              <w:t>（5）金融客户维护；</w:t>
            </w:r>
          </w:p>
          <w:p w14:paraId="074C35A4">
            <w:pPr>
              <w:snapToGrid w:val="0"/>
              <w:jc w:val="left"/>
              <w:rPr>
                <w:rFonts w:ascii="宋体" w:hAnsi="宋体"/>
                <w:color w:val="000000"/>
                <w:sz w:val="18"/>
                <w:szCs w:val="18"/>
              </w:rPr>
            </w:pPr>
            <w:r>
              <w:rPr>
                <w:rFonts w:hint="eastAsia" w:ascii="宋体" w:hAnsi="宋体"/>
                <w:color w:val="000000"/>
                <w:sz w:val="18"/>
                <w:szCs w:val="18"/>
              </w:rPr>
              <w:t>（6）金融消费者管理；</w:t>
            </w:r>
          </w:p>
          <w:p w14:paraId="4179B779">
            <w:pPr>
              <w:snapToGrid w:val="0"/>
              <w:jc w:val="left"/>
              <w:rPr>
                <w:rFonts w:ascii="宋体" w:hAnsi="宋体"/>
                <w:color w:val="000000"/>
                <w:sz w:val="18"/>
                <w:szCs w:val="18"/>
              </w:rPr>
            </w:pPr>
            <w:r>
              <w:rPr>
                <w:rFonts w:hint="eastAsia" w:ascii="宋体" w:hAnsi="宋体"/>
                <w:color w:val="000000"/>
                <w:sz w:val="18"/>
                <w:szCs w:val="18"/>
              </w:rPr>
              <w:t>（7）金融客户资产管理；</w:t>
            </w:r>
          </w:p>
          <w:p w14:paraId="10FD8DD9">
            <w:pPr>
              <w:snapToGrid w:val="0"/>
              <w:jc w:val="left"/>
              <w:rPr>
                <w:rFonts w:ascii="宋体" w:hAnsi="宋体"/>
                <w:color w:val="000000"/>
                <w:sz w:val="18"/>
                <w:szCs w:val="18"/>
              </w:rPr>
            </w:pPr>
            <w:r>
              <w:rPr>
                <w:rFonts w:hint="eastAsia" w:ascii="宋体" w:hAnsi="宋体"/>
                <w:color w:val="000000"/>
                <w:sz w:val="18"/>
                <w:szCs w:val="18"/>
              </w:rPr>
              <w:t>（8）金融客户关系管理；</w:t>
            </w:r>
          </w:p>
          <w:p w14:paraId="503651D3">
            <w:pPr>
              <w:snapToGrid w:val="0"/>
              <w:jc w:val="left"/>
              <w:rPr>
                <w:rFonts w:ascii="宋体" w:hAnsi="宋体"/>
                <w:color w:val="000000"/>
                <w:sz w:val="18"/>
                <w:szCs w:val="18"/>
              </w:rPr>
            </w:pPr>
            <w:r>
              <w:rPr>
                <w:rFonts w:hint="eastAsia" w:ascii="宋体" w:hAnsi="宋体"/>
                <w:color w:val="000000"/>
                <w:sz w:val="18"/>
                <w:szCs w:val="18"/>
              </w:rPr>
              <w:t>（9）金融客户风险管理；</w:t>
            </w:r>
          </w:p>
          <w:p w14:paraId="40F0C79B">
            <w:pPr>
              <w:snapToGrid w:val="0"/>
              <w:jc w:val="left"/>
              <w:rPr>
                <w:rFonts w:ascii="宋体" w:hAnsi="宋体"/>
                <w:color w:val="000000"/>
                <w:sz w:val="18"/>
                <w:szCs w:val="18"/>
              </w:rPr>
            </w:pPr>
          </w:p>
        </w:tc>
        <w:tc>
          <w:tcPr>
            <w:tcW w:w="2512" w:type="dxa"/>
          </w:tcPr>
          <w:p w14:paraId="7466E7BC">
            <w:pPr>
              <w:snapToGrid w:val="0"/>
              <w:jc w:val="left"/>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6DDB164D">
            <w:pPr>
              <w:snapToGrid w:val="0"/>
              <w:jc w:val="left"/>
              <w:rPr>
                <w:rFonts w:ascii="宋体" w:hAnsi="宋体"/>
                <w:color w:val="000000"/>
                <w:sz w:val="18"/>
                <w:szCs w:val="18"/>
              </w:rPr>
            </w:pPr>
            <w:r>
              <w:rPr>
                <w:rFonts w:hint="eastAsia" w:ascii="宋体" w:hAnsi="宋体"/>
                <w:color w:val="000000"/>
                <w:sz w:val="18"/>
                <w:szCs w:val="18"/>
              </w:rPr>
              <w:t>（2）教学方法：结合学生特点，采用情景教学、案例教学、任务驱动教学、合作探究等教学方法；融入课程思政，立德树人贯穿课程始终。</w:t>
            </w:r>
          </w:p>
          <w:p w14:paraId="071E8110">
            <w:pPr>
              <w:snapToGrid w:val="0"/>
              <w:jc w:val="left"/>
              <w:rPr>
                <w:rFonts w:ascii="宋体" w:hAnsi="宋体"/>
                <w:color w:val="000000"/>
                <w:sz w:val="18"/>
                <w:szCs w:val="18"/>
              </w:rPr>
            </w:pPr>
            <w:r>
              <w:rPr>
                <w:rFonts w:hint="eastAsia" w:ascii="宋体" w:hAnsi="宋体"/>
                <w:color w:val="000000"/>
                <w:sz w:val="18"/>
                <w:szCs w:val="18"/>
              </w:rPr>
              <w:t>（3）师资要求：担任本课程的教师应该具备扎实的专业知识，能够理论联系实际，深入浅出的教学。</w:t>
            </w:r>
          </w:p>
          <w:p w14:paraId="524F5218">
            <w:pPr>
              <w:snapToGrid w:val="0"/>
              <w:jc w:val="left"/>
              <w:rPr>
                <w:rFonts w:ascii="宋体" w:hAnsi="宋体"/>
                <w:color w:val="000000"/>
                <w:sz w:val="18"/>
                <w:szCs w:val="18"/>
              </w:rPr>
            </w:pPr>
            <w:r>
              <w:rPr>
                <w:rFonts w:hint="eastAsia" w:ascii="宋体" w:hAnsi="宋体"/>
                <w:color w:val="000000"/>
                <w:sz w:val="18"/>
                <w:szCs w:val="18"/>
              </w:rPr>
              <w:t>（4）课程考核：采用过程考核与结果考核相结合，过程性考核根据考勤、课堂表现等评定，占总成绩的30%，期末考试占70%。</w:t>
            </w:r>
          </w:p>
        </w:tc>
      </w:tr>
      <w:tr w14:paraId="15919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Align w:val="center"/>
          </w:tcPr>
          <w:p w14:paraId="451D9ABD">
            <w:pPr>
              <w:adjustRightInd w:val="0"/>
              <w:snapToGrid w:val="0"/>
              <w:spacing w:line="276" w:lineRule="auto"/>
              <w:rPr>
                <w:rFonts w:ascii="宋体" w:hAnsi="宋体"/>
                <w:sz w:val="18"/>
                <w:szCs w:val="18"/>
              </w:rPr>
            </w:pPr>
            <w:r>
              <w:rPr>
                <w:rFonts w:hint="eastAsia" w:ascii="宋体" w:hAnsi="宋体"/>
                <w:sz w:val="18"/>
                <w:szCs w:val="18"/>
              </w:rPr>
              <w:t>保险理论与实务</w:t>
            </w:r>
            <w:r>
              <w:rPr>
                <w:rFonts w:hint="eastAsia" w:ascii="黑体" w:hAnsi="黑体" w:eastAsia="黑体"/>
                <w:color w:val="000000" w:themeColor="text1"/>
                <w:szCs w:val="21"/>
              </w:rPr>
              <w:t>★</w:t>
            </w:r>
          </w:p>
        </w:tc>
        <w:tc>
          <w:tcPr>
            <w:tcW w:w="2865" w:type="dxa"/>
            <w:vAlign w:val="top"/>
          </w:tcPr>
          <w:p w14:paraId="11235050">
            <w:pPr>
              <w:snapToGrid w:val="0"/>
              <w:jc w:val="both"/>
              <w:rPr>
                <w:rFonts w:ascii="宋体" w:hAnsi="宋体"/>
                <w:b/>
                <w:bCs/>
                <w:color w:val="000000"/>
                <w:sz w:val="18"/>
                <w:szCs w:val="18"/>
              </w:rPr>
            </w:pPr>
            <w:r>
              <w:rPr>
                <w:rFonts w:hint="eastAsia" w:ascii="宋体" w:hAnsi="宋体"/>
                <w:b/>
                <w:bCs/>
                <w:color w:val="000000"/>
                <w:sz w:val="18"/>
                <w:szCs w:val="18"/>
              </w:rPr>
              <w:t>素质目标：</w:t>
            </w:r>
          </w:p>
          <w:p w14:paraId="344CDC0E">
            <w:pPr>
              <w:snapToGrid w:val="0"/>
              <w:jc w:val="both"/>
              <w:rPr>
                <w:rFonts w:ascii="宋体" w:hAnsi="宋体"/>
                <w:color w:val="000000"/>
                <w:sz w:val="18"/>
                <w:szCs w:val="18"/>
              </w:rPr>
            </w:pPr>
            <w:r>
              <w:rPr>
                <w:rFonts w:hint="eastAsia" w:ascii="宋体" w:hAnsi="宋体"/>
                <w:color w:val="000000"/>
                <w:sz w:val="18"/>
                <w:szCs w:val="18"/>
              </w:rPr>
              <w:t>培养学生认真、严谨的工作作风，诚信的职业品质，培养学生具备从事保险行业以及相关职业的职业资格、职业能力与职业素养。</w:t>
            </w:r>
          </w:p>
          <w:p w14:paraId="04129165">
            <w:pPr>
              <w:snapToGrid w:val="0"/>
              <w:jc w:val="both"/>
              <w:rPr>
                <w:rFonts w:ascii="宋体" w:hAnsi="宋体"/>
                <w:b/>
                <w:bCs/>
                <w:color w:val="000000"/>
                <w:sz w:val="18"/>
                <w:szCs w:val="18"/>
              </w:rPr>
            </w:pPr>
            <w:r>
              <w:rPr>
                <w:rFonts w:hint="eastAsia" w:ascii="宋体" w:hAnsi="宋体"/>
                <w:b/>
                <w:bCs/>
                <w:color w:val="000000"/>
                <w:sz w:val="18"/>
                <w:szCs w:val="18"/>
              </w:rPr>
              <w:t>知识目标：</w:t>
            </w:r>
          </w:p>
          <w:p w14:paraId="1F681CA5">
            <w:pPr>
              <w:snapToGrid w:val="0"/>
              <w:jc w:val="both"/>
              <w:rPr>
                <w:rFonts w:ascii="宋体" w:hAnsi="宋体"/>
                <w:color w:val="000000"/>
                <w:sz w:val="18"/>
                <w:szCs w:val="18"/>
              </w:rPr>
            </w:pPr>
            <w:r>
              <w:rPr>
                <w:rFonts w:hint="eastAsia" w:ascii="宋体" w:hAnsi="宋体"/>
                <w:color w:val="000000"/>
                <w:sz w:val="18"/>
                <w:szCs w:val="18"/>
              </w:rPr>
              <w:t>通过本课程学习，学生能掌握保险的原理与基础知识，掌握保险合同订立的原则，掌握保险产品的分类与营销的方法。</w:t>
            </w:r>
          </w:p>
          <w:p w14:paraId="04DC3C71">
            <w:pPr>
              <w:snapToGrid w:val="0"/>
              <w:jc w:val="both"/>
              <w:rPr>
                <w:rFonts w:ascii="宋体" w:hAnsi="宋体"/>
                <w:b/>
                <w:bCs/>
                <w:color w:val="000000"/>
                <w:sz w:val="18"/>
                <w:szCs w:val="18"/>
              </w:rPr>
            </w:pPr>
            <w:r>
              <w:rPr>
                <w:rFonts w:hint="eastAsia" w:ascii="宋体" w:hAnsi="宋体"/>
                <w:b/>
                <w:bCs/>
                <w:color w:val="000000"/>
                <w:sz w:val="18"/>
                <w:szCs w:val="18"/>
              </w:rPr>
              <w:t>能力目标：</w:t>
            </w:r>
          </w:p>
          <w:p w14:paraId="54595E77">
            <w:pPr>
              <w:snapToGrid w:val="0"/>
              <w:jc w:val="both"/>
              <w:rPr>
                <w:rFonts w:ascii="宋体" w:hAnsi="宋体"/>
                <w:color w:val="000000"/>
                <w:sz w:val="18"/>
                <w:szCs w:val="18"/>
              </w:rPr>
            </w:pPr>
            <w:r>
              <w:rPr>
                <w:rFonts w:hint="eastAsia" w:ascii="宋体" w:hAnsi="宋体"/>
                <w:color w:val="000000"/>
                <w:sz w:val="18"/>
                <w:szCs w:val="18"/>
              </w:rPr>
              <w:t>能进行保险产品销售、承保与理赔，能进行保险客户关系开发、维护与管理。</w:t>
            </w:r>
          </w:p>
        </w:tc>
        <w:tc>
          <w:tcPr>
            <w:tcW w:w="2370" w:type="dxa"/>
            <w:vAlign w:val="top"/>
          </w:tcPr>
          <w:p w14:paraId="4FC1C6BF">
            <w:pPr>
              <w:snapToGrid w:val="0"/>
              <w:jc w:val="both"/>
              <w:rPr>
                <w:rFonts w:ascii="宋体" w:hAnsi="宋体"/>
                <w:color w:val="000000"/>
                <w:sz w:val="18"/>
                <w:szCs w:val="18"/>
              </w:rPr>
            </w:pPr>
            <w:r>
              <w:rPr>
                <w:rFonts w:hint="eastAsia" w:ascii="宋体" w:hAnsi="宋体"/>
                <w:color w:val="000000"/>
                <w:sz w:val="18"/>
                <w:szCs w:val="18"/>
              </w:rPr>
              <w:t>（1）保险概述</w:t>
            </w:r>
          </w:p>
          <w:p w14:paraId="12C5A278">
            <w:pPr>
              <w:snapToGrid w:val="0"/>
              <w:jc w:val="both"/>
              <w:rPr>
                <w:rFonts w:ascii="宋体" w:hAnsi="宋体"/>
                <w:color w:val="000000"/>
                <w:sz w:val="18"/>
                <w:szCs w:val="18"/>
              </w:rPr>
            </w:pPr>
            <w:r>
              <w:rPr>
                <w:rFonts w:hint="eastAsia" w:ascii="宋体" w:hAnsi="宋体"/>
                <w:color w:val="000000"/>
                <w:sz w:val="18"/>
                <w:szCs w:val="18"/>
              </w:rPr>
              <w:t>（2）保险四大原则解析</w:t>
            </w:r>
          </w:p>
          <w:p w14:paraId="4BEE6119">
            <w:pPr>
              <w:snapToGrid w:val="0"/>
              <w:jc w:val="both"/>
              <w:rPr>
                <w:rFonts w:ascii="宋体" w:hAnsi="宋体"/>
                <w:color w:val="000000"/>
                <w:sz w:val="18"/>
                <w:szCs w:val="18"/>
              </w:rPr>
            </w:pPr>
            <w:r>
              <w:rPr>
                <w:rFonts w:hint="eastAsia" w:ascii="宋体" w:hAnsi="宋体"/>
                <w:color w:val="000000"/>
                <w:sz w:val="18"/>
                <w:szCs w:val="18"/>
              </w:rPr>
              <w:t>（3）保险合同的订立与履行</w:t>
            </w:r>
          </w:p>
          <w:p w14:paraId="4FE1A3E1">
            <w:pPr>
              <w:snapToGrid w:val="0"/>
              <w:jc w:val="both"/>
              <w:rPr>
                <w:rFonts w:ascii="宋体" w:hAnsi="宋体"/>
                <w:color w:val="000000"/>
                <w:sz w:val="18"/>
                <w:szCs w:val="18"/>
              </w:rPr>
            </w:pPr>
            <w:r>
              <w:rPr>
                <w:rFonts w:hint="eastAsia" w:ascii="宋体" w:hAnsi="宋体"/>
                <w:color w:val="000000"/>
                <w:sz w:val="18"/>
                <w:szCs w:val="18"/>
              </w:rPr>
              <w:t>（4）保险费率厘定原则与简单计算</w:t>
            </w:r>
          </w:p>
          <w:p w14:paraId="3E887D7A">
            <w:pPr>
              <w:snapToGrid w:val="0"/>
              <w:jc w:val="both"/>
              <w:rPr>
                <w:rFonts w:ascii="宋体" w:hAnsi="宋体"/>
                <w:color w:val="000000"/>
                <w:sz w:val="18"/>
                <w:szCs w:val="18"/>
              </w:rPr>
            </w:pPr>
            <w:r>
              <w:rPr>
                <w:rFonts w:hint="eastAsia" w:ascii="宋体" w:hAnsi="宋体"/>
                <w:color w:val="000000"/>
                <w:sz w:val="18"/>
                <w:szCs w:val="18"/>
              </w:rPr>
              <w:t>（5）保险产品分类与识别</w:t>
            </w:r>
          </w:p>
          <w:p w14:paraId="0139E6C4">
            <w:pPr>
              <w:snapToGrid w:val="0"/>
              <w:jc w:val="both"/>
              <w:rPr>
                <w:rFonts w:ascii="宋体" w:hAnsi="宋体"/>
                <w:color w:val="000000"/>
                <w:sz w:val="18"/>
                <w:szCs w:val="18"/>
              </w:rPr>
            </w:pPr>
            <w:r>
              <w:rPr>
                <w:rFonts w:hint="eastAsia" w:ascii="宋体" w:hAnsi="宋体"/>
                <w:color w:val="000000"/>
                <w:sz w:val="18"/>
                <w:szCs w:val="18"/>
              </w:rPr>
              <w:t>（6）保险经营流程的认识</w:t>
            </w:r>
          </w:p>
        </w:tc>
        <w:tc>
          <w:tcPr>
            <w:tcW w:w="2512" w:type="dxa"/>
            <w:vAlign w:val="top"/>
          </w:tcPr>
          <w:p w14:paraId="727BDC09">
            <w:pPr>
              <w:snapToGrid w:val="0"/>
              <w:jc w:val="both"/>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579CA33A">
            <w:pPr>
              <w:snapToGrid w:val="0"/>
              <w:jc w:val="both"/>
              <w:rPr>
                <w:rFonts w:ascii="宋体" w:hAnsi="宋体"/>
                <w:color w:val="000000"/>
                <w:sz w:val="18"/>
                <w:szCs w:val="18"/>
              </w:rPr>
            </w:pPr>
            <w:r>
              <w:rPr>
                <w:rFonts w:hint="eastAsia" w:ascii="宋体" w:hAnsi="宋体"/>
                <w:color w:val="000000"/>
                <w:sz w:val="18"/>
                <w:szCs w:val="18"/>
              </w:rPr>
              <w:t>（2）教学方法：结合学生特点，采用情景教学、案例教学、任务驱动教学、角色扮演等教学方法；融入课程思政，立德树人贯穿课程始终。</w:t>
            </w:r>
          </w:p>
          <w:p w14:paraId="5497412F">
            <w:pPr>
              <w:snapToGrid w:val="0"/>
              <w:jc w:val="both"/>
              <w:rPr>
                <w:rFonts w:ascii="宋体" w:hAnsi="宋体"/>
                <w:color w:val="000000"/>
                <w:sz w:val="18"/>
                <w:szCs w:val="18"/>
              </w:rPr>
            </w:pPr>
            <w:r>
              <w:rPr>
                <w:rFonts w:hint="eastAsia" w:ascii="宋体" w:hAnsi="宋体"/>
                <w:color w:val="000000"/>
                <w:sz w:val="18"/>
                <w:szCs w:val="18"/>
              </w:rPr>
              <w:t>（3）师资要求：担任本课程的教师应该具备扎实的专业知识，熟悉主流保险产品。</w:t>
            </w:r>
          </w:p>
          <w:p w14:paraId="5B2D1736">
            <w:pPr>
              <w:snapToGrid w:val="0"/>
              <w:jc w:val="both"/>
              <w:rPr>
                <w:rFonts w:ascii="宋体" w:hAnsi="宋体"/>
                <w:color w:val="000000"/>
                <w:sz w:val="18"/>
                <w:szCs w:val="18"/>
              </w:rPr>
            </w:pPr>
            <w:r>
              <w:rPr>
                <w:rFonts w:hint="eastAsia" w:ascii="宋体" w:hAnsi="宋体"/>
                <w:color w:val="000000"/>
                <w:sz w:val="18"/>
                <w:szCs w:val="18"/>
              </w:rPr>
              <w:t>（4）课程考核：采用过程考核与结果考核相结合，过程性考核根据考勤、课堂表现等评定，占总成绩的30%，期末考试占70%。</w:t>
            </w:r>
          </w:p>
        </w:tc>
      </w:tr>
      <w:tr w14:paraId="3488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Align w:val="center"/>
          </w:tcPr>
          <w:p w14:paraId="65E2B311">
            <w:pPr>
              <w:adjustRightInd w:val="0"/>
              <w:snapToGrid w:val="0"/>
              <w:spacing w:line="276" w:lineRule="auto"/>
              <w:rPr>
                <w:rFonts w:ascii="宋体" w:hAnsi="宋体"/>
                <w:sz w:val="18"/>
                <w:szCs w:val="18"/>
              </w:rPr>
            </w:pPr>
            <w:r>
              <w:rPr>
                <w:rFonts w:hint="eastAsia" w:ascii="宋体" w:hAnsi="宋体"/>
                <w:sz w:val="18"/>
                <w:szCs w:val="18"/>
              </w:rPr>
              <w:t>证券投资理论与实务</w:t>
            </w:r>
            <w:r>
              <w:rPr>
                <w:rFonts w:hint="eastAsia" w:ascii="黑体" w:hAnsi="黑体" w:eastAsia="黑体"/>
                <w:color w:val="000000" w:themeColor="text1"/>
                <w:szCs w:val="21"/>
              </w:rPr>
              <w:t>★</w:t>
            </w:r>
          </w:p>
        </w:tc>
        <w:tc>
          <w:tcPr>
            <w:tcW w:w="2865" w:type="dxa"/>
          </w:tcPr>
          <w:p w14:paraId="044ABE40">
            <w:pPr>
              <w:snapToGrid w:val="0"/>
              <w:jc w:val="left"/>
              <w:rPr>
                <w:rFonts w:ascii="宋体" w:hAnsi="宋体"/>
                <w:b/>
                <w:bCs/>
                <w:color w:val="000000"/>
                <w:sz w:val="18"/>
                <w:szCs w:val="18"/>
              </w:rPr>
            </w:pPr>
            <w:r>
              <w:rPr>
                <w:rFonts w:hint="eastAsia" w:ascii="宋体" w:hAnsi="宋体"/>
                <w:b/>
                <w:bCs/>
                <w:color w:val="000000"/>
                <w:sz w:val="18"/>
                <w:szCs w:val="18"/>
              </w:rPr>
              <w:t>素质目标：</w:t>
            </w:r>
          </w:p>
          <w:p w14:paraId="50ABCB6F">
            <w:pPr>
              <w:snapToGrid w:val="0"/>
              <w:jc w:val="left"/>
              <w:rPr>
                <w:rFonts w:ascii="宋体" w:hAnsi="宋体"/>
                <w:color w:val="000000"/>
                <w:sz w:val="18"/>
                <w:szCs w:val="18"/>
              </w:rPr>
            </w:pPr>
            <w:r>
              <w:rPr>
                <w:rFonts w:hint="eastAsia" w:ascii="宋体" w:hAnsi="宋体"/>
                <w:color w:val="000000"/>
                <w:sz w:val="18"/>
                <w:szCs w:val="18"/>
              </w:rPr>
              <w:t>培养学生的服务意识和风险意识，培养学生诚实守信、勤奋尽责的职业素养。</w:t>
            </w:r>
          </w:p>
          <w:p w14:paraId="4AC7EFC2">
            <w:pPr>
              <w:snapToGrid w:val="0"/>
              <w:jc w:val="left"/>
              <w:rPr>
                <w:rFonts w:ascii="宋体" w:hAnsi="宋体"/>
                <w:color w:val="000000"/>
                <w:sz w:val="18"/>
                <w:szCs w:val="18"/>
              </w:rPr>
            </w:pPr>
            <w:r>
              <w:rPr>
                <w:rFonts w:hint="eastAsia" w:ascii="宋体" w:hAnsi="宋体"/>
                <w:b/>
                <w:bCs/>
                <w:color w:val="000000"/>
                <w:sz w:val="18"/>
                <w:szCs w:val="18"/>
              </w:rPr>
              <w:t>知识目标：</w:t>
            </w:r>
            <w:r>
              <w:rPr>
                <w:rFonts w:hint="eastAsia" w:ascii="宋体" w:hAnsi="宋体"/>
                <w:color w:val="000000"/>
                <w:sz w:val="18"/>
                <w:szCs w:val="18"/>
              </w:rPr>
              <w:t>|</w:t>
            </w:r>
          </w:p>
          <w:p w14:paraId="1B42C471">
            <w:pPr>
              <w:snapToGrid w:val="0"/>
              <w:jc w:val="left"/>
              <w:rPr>
                <w:rFonts w:ascii="宋体" w:hAnsi="宋体"/>
                <w:color w:val="000000"/>
                <w:sz w:val="18"/>
                <w:szCs w:val="18"/>
              </w:rPr>
            </w:pPr>
            <w:r>
              <w:rPr>
                <w:rFonts w:hint="eastAsia" w:ascii="宋体" w:hAnsi="宋体"/>
                <w:color w:val="000000"/>
                <w:sz w:val="18"/>
                <w:szCs w:val="18"/>
              </w:rPr>
              <w:t>通过本课程学习，学生能掌握证券投资基本概念，掌握证券投资工具、证券投资市场、证券投资基本分析和证券投资技术分析等证券投资活动的基本理论、基本操作和在实际中的具体运用。</w:t>
            </w:r>
          </w:p>
          <w:p w14:paraId="5DABE41E">
            <w:pPr>
              <w:snapToGrid w:val="0"/>
              <w:jc w:val="left"/>
              <w:rPr>
                <w:rFonts w:ascii="宋体" w:hAnsi="宋体"/>
                <w:b/>
                <w:bCs/>
                <w:color w:val="000000"/>
                <w:sz w:val="18"/>
                <w:szCs w:val="18"/>
              </w:rPr>
            </w:pPr>
            <w:r>
              <w:rPr>
                <w:rFonts w:hint="eastAsia" w:ascii="宋体" w:hAnsi="宋体"/>
                <w:b/>
                <w:bCs/>
                <w:color w:val="000000"/>
                <w:sz w:val="18"/>
                <w:szCs w:val="18"/>
              </w:rPr>
              <w:t>能力目标：</w:t>
            </w:r>
          </w:p>
          <w:p w14:paraId="1EABA8E4">
            <w:pPr>
              <w:snapToGrid w:val="0"/>
              <w:jc w:val="left"/>
              <w:rPr>
                <w:rFonts w:ascii="宋体" w:hAnsi="宋体"/>
                <w:color w:val="000000"/>
                <w:sz w:val="18"/>
                <w:szCs w:val="18"/>
              </w:rPr>
            </w:pPr>
            <w:r>
              <w:rPr>
                <w:rFonts w:hint="eastAsia" w:ascii="宋体" w:hAnsi="宋体"/>
                <w:color w:val="000000"/>
                <w:sz w:val="18"/>
                <w:szCs w:val="18"/>
              </w:rPr>
              <w:t>能判断证券市场价格走势，能做出科学合理的投资决策，能指导自己及他人的投资活动。</w:t>
            </w:r>
          </w:p>
        </w:tc>
        <w:tc>
          <w:tcPr>
            <w:tcW w:w="2370" w:type="dxa"/>
          </w:tcPr>
          <w:p w14:paraId="6ADC7E09">
            <w:pPr>
              <w:snapToGrid w:val="0"/>
              <w:jc w:val="left"/>
              <w:rPr>
                <w:rFonts w:ascii="宋体" w:hAnsi="宋体"/>
                <w:color w:val="000000"/>
                <w:sz w:val="18"/>
                <w:szCs w:val="18"/>
              </w:rPr>
            </w:pPr>
            <w:r>
              <w:rPr>
                <w:rFonts w:hint="eastAsia" w:ascii="宋体" w:hAnsi="宋体"/>
                <w:color w:val="000000"/>
                <w:sz w:val="18"/>
                <w:szCs w:val="18"/>
              </w:rPr>
              <w:t>（1）证券投资概论</w:t>
            </w:r>
          </w:p>
          <w:p w14:paraId="61943305">
            <w:pPr>
              <w:snapToGrid w:val="0"/>
              <w:jc w:val="left"/>
              <w:rPr>
                <w:rFonts w:ascii="宋体" w:hAnsi="宋体"/>
                <w:color w:val="000000"/>
                <w:sz w:val="18"/>
                <w:szCs w:val="18"/>
              </w:rPr>
            </w:pPr>
            <w:r>
              <w:rPr>
                <w:rFonts w:hint="eastAsia" w:ascii="宋体" w:hAnsi="宋体"/>
                <w:color w:val="000000"/>
                <w:sz w:val="18"/>
                <w:szCs w:val="18"/>
              </w:rPr>
              <w:t>（2）证券市场概论</w:t>
            </w:r>
          </w:p>
          <w:p w14:paraId="65316339">
            <w:pPr>
              <w:snapToGrid w:val="0"/>
              <w:jc w:val="left"/>
              <w:rPr>
                <w:rFonts w:ascii="宋体" w:hAnsi="宋体"/>
                <w:color w:val="000000"/>
                <w:sz w:val="18"/>
                <w:szCs w:val="18"/>
              </w:rPr>
            </w:pPr>
            <w:r>
              <w:rPr>
                <w:rFonts w:hint="eastAsia" w:ascii="宋体" w:hAnsi="宋体"/>
                <w:color w:val="000000"/>
                <w:sz w:val="18"/>
                <w:szCs w:val="18"/>
              </w:rPr>
              <w:t>（3）证券投资品种——股票</w:t>
            </w:r>
          </w:p>
          <w:p w14:paraId="630E5D87">
            <w:pPr>
              <w:snapToGrid w:val="0"/>
              <w:jc w:val="left"/>
              <w:rPr>
                <w:rFonts w:ascii="宋体" w:hAnsi="宋体"/>
                <w:color w:val="000000"/>
                <w:sz w:val="18"/>
                <w:szCs w:val="18"/>
              </w:rPr>
            </w:pPr>
            <w:r>
              <w:rPr>
                <w:rFonts w:hint="eastAsia" w:ascii="宋体" w:hAnsi="宋体"/>
                <w:color w:val="000000"/>
                <w:sz w:val="18"/>
                <w:szCs w:val="18"/>
              </w:rPr>
              <w:t>（4）证券投资品种——债券</w:t>
            </w:r>
          </w:p>
          <w:p w14:paraId="53D29DD9">
            <w:pPr>
              <w:snapToGrid w:val="0"/>
              <w:jc w:val="left"/>
              <w:rPr>
                <w:rFonts w:ascii="宋体" w:hAnsi="宋体"/>
                <w:color w:val="000000"/>
                <w:sz w:val="18"/>
                <w:szCs w:val="18"/>
              </w:rPr>
            </w:pPr>
            <w:r>
              <w:rPr>
                <w:rFonts w:hint="eastAsia" w:ascii="宋体" w:hAnsi="宋体"/>
                <w:color w:val="000000"/>
                <w:sz w:val="18"/>
                <w:szCs w:val="18"/>
              </w:rPr>
              <w:t>（5）证券投资品种——基金</w:t>
            </w:r>
          </w:p>
          <w:p w14:paraId="097606DD">
            <w:pPr>
              <w:snapToGrid w:val="0"/>
              <w:jc w:val="left"/>
              <w:rPr>
                <w:rFonts w:ascii="宋体" w:hAnsi="宋体"/>
                <w:color w:val="000000"/>
                <w:sz w:val="18"/>
                <w:szCs w:val="18"/>
              </w:rPr>
            </w:pPr>
            <w:r>
              <w:rPr>
                <w:rFonts w:hint="eastAsia" w:ascii="宋体" w:hAnsi="宋体"/>
                <w:color w:val="000000"/>
                <w:sz w:val="18"/>
                <w:szCs w:val="18"/>
              </w:rPr>
              <w:t>（6）证券投资品种——金融衍生品</w:t>
            </w:r>
          </w:p>
          <w:p w14:paraId="673606F4">
            <w:pPr>
              <w:snapToGrid w:val="0"/>
              <w:jc w:val="left"/>
              <w:rPr>
                <w:rFonts w:ascii="宋体" w:hAnsi="宋体"/>
                <w:color w:val="000000"/>
                <w:sz w:val="18"/>
                <w:szCs w:val="18"/>
              </w:rPr>
            </w:pPr>
            <w:r>
              <w:rPr>
                <w:rFonts w:hint="eastAsia" w:ascii="宋体" w:hAnsi="宋体"/>
                <w:color w:val="000000"/>
                <w:sz w:val="18"/>
                <w:szCs w:val="18"/>
              </w:rPr>
              <w:t>（7）证券投资分析——基本分析</w:t>
            </w:r>
          </w:p>
          <w:p w14:paraId="7FE619F2">
            <w:pPr>
              <w:snapToGrid w:val="0"/>
              <w:jc w:val="left"/>
              <w:rPr>
                <w:rFonts w:ascii="宋体" w:hAnsi="宋体"/>
                <w:color w:val="000000"/>
                <w:sz w:val="18"/>
                <w:szCs w:val="18"/>
              </w:rPr>
            </w:pPr>
            <w:r>
              <w:rPr>
                <w:rFonts w:hint="eastAsia" w:ascii="宋体" w:hAnsi="宋体"/>
                <w:color w:val="000000"/>
                <w:sz w:val="18"/>
                <w:szCs w:val="18"/>
              </w:rPr>
              <w:t>（8）证券投资分析——技术分析</w:t>
            </w:r>
          </w:p>
          <w:p w14:paraId="6441F500">
            <w:pPr>
              <w:snapToGrid w:val="0"/>
              <w:jc w:val="left"/>
              <w:rPr>
                <w:rFonts w:ascii="宋体" w:hAnsi="宋体"/>
                <w:color w:val="000000"/>
                <w:sz w:val="18"/>
                <w:szCs w:val="18"/>
              </w:rPr>
            </w:pPr>
            <w:r>
              <w:rPr>
                <w:rFonts w:hint="eastAsia" w:ascii="宋体" w:hAnsi="宋体"/>
                <w:color w:val="000000"/>
                <w:sz w:val="18"/>
                <w:szCs w:val="18"/>
              </w:rPr>
              <w:t>（9）证券市场监管</w:t>
            </w:r>
          </w:p>
        </w:tc>
        <w:tc>
          <w:tcPr>
            <w:tcW w:w="2512" w:type="dxa"/>
          </w:tcPr>
          <w:p w14:paraId="240C78F9">
            <w:pPr>
              <w:snapToGrid w:val="0"/>
              <w:jc w:val="left"/>
              <w:rPr>
                <w:rFonts w:ascii="宋体" w:hAnsi="宋体"/>
                <w:color w:val="000000"/>
                <w:sz w:val="18"/>
                <w:szCs w:val="18"/>
              </w:rPr>
            </w:pPr>
            <w:r>
              <w:rPr>
                <w:rFonts w:hint="eastAsia" w:ascii="宋体" w:hAnsi="宋体"/>
                <w:color w:val="000000"/>
                <w:sz w:val="18"/>
                <w:szCs w:val="18"/>
              </w:rPr>
              <w:t>总学时（1）教学条件：授课主要在机房进行，装有模拟炒股软件。</w:t>
            </w:r>
          </w:p>
          <w:p w14:paraId="45AAE223">
            <w:pPr>
              <w:snapToGrid w:val="0"/>
              <w:jc w:val="left"/>
              <w:rPr>
                <w:rFonts w:ascii="宋体" w:hAnsi="宋体"/>
                <w:color w:val="000000"/>
                <w:sz w:val="18"/>
                <w:szCs w:val="18"/>
              </w:rPr>
            </w:pPr>
            <w:r>
              <w:rPr>
                <w:rFonts w:hint="eastAsia" w:ascii="宋体" w:hAnsi="宋体"/>
                <w:color w:val="000000"/>
                <w:sz w:val="18"/>
                <w:szCs w:val="18"/>
              </w:rPr>
              <w:t>（2）教学方法：结合学生特点，采用任务驱动教学、角色扮演等教学方法；融入课程思政，立德树人贯穿课程始终。</w:t>
            </w:r>
          </w:p>
          <w:p w14:paraId="356B1DD2">
            <w:pPr>
              <w:snapToGrid w:val="0"/>
              <w:jc w:val="left"/>
              <w:rPr>
                <w:rFonts w:ascii="宋体" w:hAnsi="宋体"/>
                <w:color w:val="000000"/>
                <w:sz w:val="18"/>
                <w:szCs w:val="18"/>
              </w:rPr>
            </w:pPr>
            <w:r>
              <w:rPr>
                <w:rFonts w:hint="eastAsia" w:ascii="宋体" w:hAnsi="宋体"/>
                <w:color w:val="000000"/>
                <w:sz w:val="18"/>
                <w:szCs w:val="18"/>
              </w:rPr>
              <w:t>（3）师资要求：担任本课程的教师应该具备扎实的专业知识，能有丰富的证券投资实战经验，能对证券走势进行分析与判断。</w:t>
            </w:r>
          </w:p>
          <w:p w14:paraId="4E806D52">
            <w:pPr>
              <w:snapToGrid w:val="0"/>
              <w:jc w:val="left"/>
              <w:rPr>
                <w:rFonts w:ascii="宋体" w:hAnsi="宋体"/>
                <w:color w:val="000000"/>
                <w:sz w:val="18"/>
                <w:szCs w:val="18"/>
              </w:rPr>
            </w:pPr>
            <w:r>
              <w:rPr>
                <w:rFonts w:hint="eastAsia" w:ascii="宋体" w:hAnsi="宋体"/>
                <w:color w:val="000000"/>
                <w:sz w:val="18"/>
                <w:szCs w:val="18"/>
              </w:rPr>
              <w:t>（4）课程考核：采用过程考核与结果考核相结合，过程性考核根据考勤、课堂表现等评定，占总成绩的30%，期末考试占70%。</w:t>
            </w:r>
          </w:p>
        </w:tc>
      </w:tr>
      <w:tr w14:paraId="7A37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dxa"/>
            <w:vAlign w:val="center"/>
          </w:tcPr>
          <w:p w14:paraId="1C30269F">
            <w:pPr>
              <w:adjustRightInd w:val="0"/>
              <w:snapToGrid w:val="0"/>
              <w:spacing w:line="276" w:lineRule="auto"/>
              <w:rPr>
                <w:rFonts w:ascii="宋体" w:hAnsi="宋体" w:cs="宋体"/>
                <w:sz w:val="18"/>
                <w:szCs w:val="18"/>
              </w:rPr>
            </w:pPr>
            <w:r>
              <w:rPr>
                <w:rFonts w:hint="eastAsia" w:ascii="宋体" w:hAnsi="宋体"/>
                <w:sz w:val="18"/>
                <w:szCs w:val="18"/>
              </w:rPr>
              <w:t>个人理财</w:t>
            </w:r>
            <w:r>
              <w:rPr>
                <w:rFonts w:hint="eastAsia" w:ascii="黑体" w:hAnsi="黑体" w:eastAsia="黑体"/>
                <w:color w:val="000000" w:themeColor="text1"/>
                <w:szCs w:val="21"/>
              </w:rPr>
              <w:t>★</w:t>
            </w:r>
          </w:p>
        </w:tc>
        <w:tc>
          <w:tcPr>
            <w:tcW w:w="2865" w:type="dxa"/>
          </w:tcPr>
          <w:p w14:paraId="7F5C54D2">
            <w:pPr>
              <w:snapToGrid w:val="0"/>
              <w:jc w:val="left"/>
              <w:rPr>
                <w:rFonts w:ascii="宋体" w:hAnsi="宋体"/>
                <w:b/>
                <w:bCs/>
                <w:color w:val="000000"/>
                <w:sz w:val="18"/>
                <w:szCs w:val="18"/>
              </w:rPr>
            </w:pPr>
            <w:r>
              <w:rPr>
                <w:rFonts w:hint="eastAsia" w:ascii="宋体" w:hAnsi="宋体"/>
                <w:b/>
                <w:bCs/>
                <w:color w:val="000000"/>
                <w:sz w:val="18"/>
                <w:szCs w:val="18"/>
              </w:rPr>
              <w:t>素质目标：</w:t>
            </w:r>
          </w:p>
          <w:p w14:paraId="1F5FE0AD">
            <w:pPr>
              <w:snapToGrid w:val="0"/>
              <w:jc w:val="left"/>
              <w:rPr>
                <w:rFonts w:ascii="宋体" w:hAnsi="宋体"/>
                <w:color w:val="000000"/>
                <w:sz w:val="18"/>
                <w:szCs w:val="18"/>
              </w:rPr>
            </w:pPr>
            <w:r>
              <w:rPr>
                <w:rFonts w:hint="eastAsia" w:ascii="宋体" w:hAnsi="宋体"/>
                <w:color w:val="000000"/>
                <w:sz w:val="18"/>
                <w:szCs w:val="18"/>
              </w:rPr>
              <w:t>培养学生的投资意识和风险意识，培养学生遵法守纪、团结协作的能力。</w:t>
            </w:r>
          </w:p>
          <w:p w14:paraId="2D6BA455">
            <w:pPr>
              <w:snapToGrid w:val="0"/>
              <w:jc w:val="left"/>
              <w:rPr>
                <w:rFonts w:ascii="宋体" w:hAnsi="宋体"/>
                <w:b/>
                <w:bCs/>
                <w:color w:val="000000"/>
                <w:sz w:val="18"/>
                <w:szCs w:val="18"/>
              </w:rPr>
            </w:pPr>
            <w:r>
              <w:rPr>
                <w:rFonts w:hint="eastAsia" w:ascii="宋体" w:hAnsi="宋体"/>
                <w:b/>
                <w:bCs/>
                <w:color w:val="000000"/>
                <w:sz w:val="18"/>
                <w:szCs w:val="18"/>
              </w:rPr>
              <w:t>知识目标：</w:t>
            </w:r>
          </w:p>
          <w:p w14:paraId="1494B7B3">
            <w:pPr>
              <w:snapToGrid w:val="0"/>
              <w:jc w:val="left"/>
              <w:rPr>
                <w:rFonts w:ascii="宋体" w:hAnsi="宋体"/>
                <w:color w:val="000000"/>
                <w:sz w:val="18"/>
                <w:szCs w:val="18"/>
              </w:rPr>
            </w:pPr>
            <w:r>
              <w:rPr>
                <w:rFonts w:hint="eastAsia" w:ascii="宋体" w:hAnsi="宋体"/>
                <w:color w:val="000000"/>
                <w:sz w:val="18"/>
                <w:szCs w:val="18"/>
              </w:rPr>
              <w:t>通过本课程的学习，学生能了解我国现行的各类个人理财产品，掌握各类理财产品的内容，性质、风险和盈利状况，明确个人理财过程中应当承担的义务，应当享有的法定权利以及应承担的法律责任。</w:t>
            </w:r>
          </w:p>
          <w:p w14:paraId="419FABA4">
            <w:pPr>
              <w:snapToGrid w:val="0"/>
              <w:jc w:val="left"/>
              <w:rPr>
                <w:rFonts w:ascii="宋体" w:hAnsi="宋体"/>
                <w:b/>
                <w:bCs/>
                <w:color w:val="000000"/>
                <w:sz w:val="18"/>
                <w:szCs w:val="18"/>
              </w:rPr>
            </w:pPr>
            <w:r>
              <w:rPr>
                <w:rFonts w:hint="eastAsia" w:ascii="宋体" w:hAnsi="宋体"/>
                <w:b/>
                <w:bCs/>
                <w:color w:val="000000"/>
                <w:sz w:val="18"/>
                <w:szCs w:val="18"/>
              </w:rPr>
              <w:t>能力目标：</w:t>
            </w:r>
          </w:p>
          <w:p w14:paraId="1405F49F">
            <w:pPr>
              <w:snapToGrid w:val="0"/>
              <w:jc w:val="left"/>
              <w:rPr>
                <w:rFonts w:ascii="宋体" w:hAnsi="宋体"/>
                <w:color w:val="000000"/>
                <w:sz w:val="18"/>
                <w:szCs w:val="18"/>
              </w:rPr>
            </w:pPr>
            <w:r>
              <w:rPr>
                <w:rFonts w:hint="eastAsia" w:ascii="宋体" w:hAnsi="宋体"/>
                <w:color w:val="000000"/>
                <w:sz w:val="18"/>
                <w:szCs w:val="18"/>
              </w:rPr>
              <w:t>能制定现金规划、教育规划等个人投资理财规划方案。</w:t>
            </w:r>
          </w:p>
        </w:tc>
        <w:tc>
          <w:tcPr>
            <w:tcW w:w="2370" w:type="dxa"/>
          </w:tcPr>
          <w:p w14:paraId="4CD66719">
            <w:pPr>
              <w:snapToGrid w:val="0"/>
              <w:jc w:val="left"/>
              <w:rPr>
                <w:rFonts w:ascii="宋体" w:hAnsi="宋体"/>
                <w:color w:val="000000"/>
                <w:sz w:val="18"/>
                <w:szCs w:val="18"/>
              </w:rPr>
            </w:pPr>
            <w:r>
              <w:rPr>
                <w:rFonts w:hint="eastAsia" w:ascii="宋体" w:hAnsi="宋体"/>
                <w:color w:val="000000"/>
                <w:sz w:val="18"/>
                <w:szCs w:val="18"/>
              </w:rPr>
              <w:t>（1）个人理财概述；</w:t>
            </w:r>
          </w:p>
          <w:p w14:paraId="169B6536">
            <w:pPr>
              <w:snapToGrid w:val="0"/>
              <w:jc w:val="left"/>
              <w:rPr>
                <w:rFonts w:ascii="宋体" w:hAnsi="宋体"/>
                <w:color w:val="000000"/>
                <w:sz w:val="18"/>
                <w:szCs w:val="18"/>
              </w:rPr>
            </w:pPr>
            <w:r>
              <w:rPr>
                <w:rFonts w:hint="eastAsia" w:ascii="宋体" w:hAnsi="宋体"/>
                <w:color w:val="000000"/>
                <w:sz w:val="18"/>
                <w:szCs w:val="18"/>
              </w:rPr>
              <w:t>（2）个人理财规划的基础理念；</w:t>
            </w:r>
          </w:p>
          <w:p w14:paraId="49AE4B42">
            <w:pPr>
              <w:snapToGrid w:val="0"/>
              <w:jc w:val="left"/>
              <w:rPr>
                <w:rFonts w:ascii="宋体" w:hAnsi="宋体"/>
                <w:color w:val="000000"/>
                <w:sz w:val="18"/>
                <w:szCs w:val="18"/>
              </w:rPr>
            </w:pPr>
            <w:r>
              <w:rPr>
                <w:rFonts w:hint="eastAsia" w:ascii="宋体" w:hAnsi="宋体"/>
                <w:color w:val="000000"/>
                <w:sz w:val="18"/>
                <w:szCs w:val="18"/>
              </w:rPr>
              <w:t>（3）流动性规划（存款选择、银行卡使用及移动支付工具）；</w:t>
            </w:r>
          </w:p>
          <w:p w14:paraId="45226BAF">
            <w:pPr>
              <w:snapToGrid w:val="0"/>
              <w:jc w:val="left"/>
              <w:rPr>
                <w:rFonts w:ascii="宋体" w:hAnsi="宋体"/>
                <w:color w:val="000000"/>
                <w:sz w:val="18"/>
                <w:szCs w:val="18"/>
              </w:rPr>
            </w:pPr>
            <w:r>
              <w:rPr>
                <w:rFonts w:hint="eastAsia" w:ascii="宋体" w:hAnsi="宋体"/>
                <w:color w:val="000000"/>
                <w:sz w:val="18"/>
                <w:szCs w:val="18"/>
              </w:rPr>
              <w:t>（4）个人融资规划（融资渠道、银行贷款种类）；</w:t>
            </w:r>
          </w:p>
          <w:p w14:paraId="41BC1D74">
            <w:pPr>
              <w:snapToGrid w:val="0"/>
              <w:jc w:val="left"/>
              <w:rPr>
                <w:rFonts w:ascii="宋体" w:hAnsi="宋体"/>
                <w:color w:val="000000"/>
                <w:sz w:val="18"/>
                <w:szCs w:val="18"/>
              </w:rPr>
            </w:pPr>
            <w:r>
              <w:rPr>
                <w:rFonts w:hint="eastAsia" w:ascii="宋体" w:hAnsi="宋体"/>
                <w:color w:val="000000"/>
                <w:sz w:val="18"/>
                <w:szCs w:val="18"/>
              </w:rPr>
              <w:t>（5）个人投资规划；</w:t>
            </w:r>
          </w:p>
          <w:p w14:paraId="5AD84F16">
            <w:pPr>
              <w:snapToGrid w:val="0"/>
              <w:jc w:val="left"/>
              <w:rPr>
                <w:rFonts w:ascii="宋体" w:hAnsi="宋体"/>
                <w:color w:val="000000"/>
                <w:sz w:val="18"/>
                <w:szCs w:val="18"/>
              </w:rPr>
            </w:pPr>
            <w:r>
              <w:rPr>
                <w:rFonts w:hint="eastAsia" w:ascii="宋体" w:hAnsi="宋体"/>
                <w:color w:val="000000"/>
                <w:sz w:val="18"/>
                <w:szCs w:val="18"/>
              </w:rPr>
              <w:t>（6）个人保险规划；</w:t>
            </w:r>
          </w:p>
          <w:p w14:paraId="18718741">
            <w:pPr>
              <w:snapToGrid w:val="0"/>
              <w:jc w:val="left"/>
              <w:rPr>
                <w:rFonts w:ascii="宋体" w:hAnsi="宋体"/>
                <w:color w:val="000000"/>
                <w:sz w:val="18"/>
                <w:szCs w:val="18"/>
              </w:rPr>
            </w:pPr>
            <w:r>
              <w:rPr>
                <w:rFonts w:hint="eastAsia" w:ascii="宋体" w:hAnsi="宋体"/>
                <w:color w:val="000000"/>
                <w:sz w:val="18"/>
                <w:szCs w:val="18"/>
              </w:rPr>
              <w:t>（7）个人税收规划；</w:t>
            </w:r>
          </w:p>
          <w:p w14:paraId="5CA01310">
            <w:pPr>
              <w:snapToGrid w:val="0"/>
              <w:jc w:val="left"/>
              <w:rPr>
                <w:rFonts w:ascii="宋体" w:hAnsi="宋体"/>
                <w:color w:val="000000"/>
                <w:sz w:val="18"/>
                <w:szCs w:val="18"/>
              </w:rPr>
            </w:pPr>
            <w:r>
              <w:rPr>
                <w:rFonts w:hint="eastAsia" w:ascii="宋体" w:hAnsi="宋体"/>
                <w:color w:val="000000"/>
                <w:sz w:val="18"/>
                <w:szCs w:val="18"/>
              </w:rPr>
              <w:t>（8）婚姻家庭的理财规划；</w:t>
            </w:r>
          </w:p>
          <w:p w14:paraId="3BB72A08">
            <w:pPr>
              <w:snapToGrid w:val="0"/>
              <w:jc w:val="left"/>
              <w:rPr>
                <w:rFonts w:ascii="宋体" w:hAnsi="宋体"/>
                <w:color w:val="000000"/>
                <w:sz w:val="18"/>
                <w:szCs w:val="18"/>
              </w:rPr>
            </w:pPr>
            <w:r>
              <w:rPr>
                <w:rFonts w:hint="eastAsia" w:ascii="宋体" w:hAnsi="宋体"/>
                <w:color w:val="000000"/>
                <w:sz w:val="18"/>
                <w:szCs w:val="18"/>
              </w:rPr>
              <w:t>（9）教育理财规划；</w:t>
            </w:r>
          </w:p>
          <w:p w14:paraId="33618831">
            <w:pPr>
              <w:snapToGrid w:val="0"/>
              <w:jc w:val="left"/>
              <w:rPr>
                <w:rFonts w:ascii="宋体" w:hAnsi="宋体"/>
                <w:color w:val="000000"/>
                <w:sz w:val="18"/>
                <w:szCs w:val="18"/>
              </w:rPr>
            </w:pPr>
            <w:r>
              <w:rPr>
                <w:rFonts w:hint="eastAsia" w:ascii="宋体" w:hAnsi="宋体"/>
                <w:color w:val="000000"/>
                <w:sz w:val="18"/>
                <w:szCs w:val="18"/>
              </w:rPr>
              <w:t>（10）养老理财规划。</w:t>
            </w:r>
          </w:p>
        </w:tc>
        <w:tc>
          <w:tcPr>
            <w:tcW w:w="2512" w:type="dxa"/>
          </w:tcPr>
          <w:p w14:paraId="34FF4A5B">
            <w:pPr>
              <w:snapToGrid w:val="0"/>
              <w:jc w:val="left"/>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5D390EDD">
            <w:pPr>
              <w:snapToGrid w:val="0"/>
              <w:jc w:val="left"/>
              <w:rPr>
                <w:rFonts w:ascii="宋体" w:hAnsi="宋体"/>
                <w:color w:val="000000"/>
                <w:sz w:val="18"/>
                <w:szCs w:val="18"/>
              </w:rPr>
            </w:pPr>
            <w:r>
              <w:rPr>
                <w:rFonts w:hint="eastAsia" w:ascii="宋体" w:hAnsi="宋体"/>
                <w:color w:val="000000"/>
                <w:sz w:val="18"/>
                <w:szCs w:val="18"/>
              </w:rPr>
              <w:t>（2）教学方法：坚持以学生为中心，结合角色扮演、任务驱动等多种教学方法，同时融入课程思政，将立德树人贯穿始终。</w:t>
            </w:r>
          </w:p>
          <w:p w14:paraId="6781F098">
            <w:pPr>
              <w:snapToGrid w:val="0"/>
              <w:jc w:val="left"/>
              <w:rPr>
                <w:rFonts w:ascii="宋体" w:hAnsi="宋体"/>
                <w:color w:val="000000"/>
                <w:sz w:val="18"/>
                <w:szCs w:val="18"/>
              </w:rPr>
            </w:pPr>
            <w:r>
              <w:rPr>
                <w:rFonts w:hint="eastAsia" w:ascii="宋体" w:hAnsi="宋体"/>
                <w:color w:val="000000"/>
                <w:sz w:val="18"/>
                <w:szCs w:val="18"/>
              </w:rPr>
              <w:t>（3）师资要求：担任本课程的教师应该具备扎实的金融专业基础知识，熟悉主流理财产品。</w:t>
            </w:r>
          </w:p>
          <w:p w14:paraId="0821D7B3">
            <w:pPr>
              <w:snapToGrid w:val="0"/>
              <w:jc w:val="left"/>
              <w:rPr>
                <w:rFonts w:ascii="宋体" w:hAnsi="宋体"/>
                <w:color w:val="000000"/>
                <w:sz w:val="18"/>
                <w:szCs w:val="18"/>
              </w:rPr>
            </w:pPr>
            <w:r>
              <w:rPr>
                <w:rFonts w:hint="eastAsia" w:ascii="宋体" w:hAnsi="宋体"/>
                <w:color w:val="000000"/>
                <w:sz w:val="18"/>
                <w:szCs w:val="18"/>
              </w:rPr>
              <w:t>（4）课程考核：采用过程考核与结果考核相结合。过程考核占总成绩的30%，期末考核占总成绩的70%。</w:t>
            </w:r>
          </w:p>
        </w:tc>
      </w:tr>
      <w:tr w14:paraId="5A51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Align w:val="center"/>
          </w:tcPr>
          <w:p w14:paraId="493E792C">
            <w:pPr>
              <w:adjustRightInd w:val="0"/>
              <w:snapToGrid w:val="0"/>
              <w:spacing w:line="276" w:lineRule="auto"/>
              <w:rPr>
                <w:rFonts w:ascii="宋体" w:hAnsi="宋体" w:cs="宋体"/>
                <w:sz w:val="18"/>
                <w:szCs w:val="18"/>
              </w:rPr>
            </w:pPr>
            <w:r>
              <w:rPr>
                <w:rFonts w:hint="eastAsia" w:ascii="宋体" w:hAnsi="宋体"/>
                <w:sz w:val="18"/>
                <w:szCs w:val="18"/>
              </w:rPr>
              <w:t>风险管理</w:t>
            </w:r>
            <w:r>
              <w:rPr>
                <w:rFonts w:hint="eastAsia" w:ascii="黑体" w:hAnsi="黑体" w:eastAsia="黑体"/>
                <w:color w:val="000000" w:themeColor="text1"/>
                <w:szCs w:val="21"/>
              </w:rPr>
              <w:t>★</w:t>
            </w:r>
          </w:p>
        </w:tc>
        <w:tc>
          <w:tcPr>
            <w:tcW w:w="2865" w:type="dxa"/>
          </w:tcPr>
          <w:p w14:paraId="4D960FE9">
            <w:pPr>
              <w:snapToGrid w:val="0"/>
              <w:jc w:val="left"/>
              <w:rPr>
                <w:rFonts w:ascii="宋体" w:hAnsi="宋体"/>
                <w:b/>
                <w:bCs/>
                <w:color w:val="000000"/>
                <w:sz w:val="18"/>
                <w:szCs w:val="18"/>
              </w:rPr>
            </w:pPr>
            <w:r>
              <w:rPr>
                <w:rFonts w:hint="eastAsia" w:ascii="宋体" w:hAnsi="宋体"/>
                <w:b/>
                <w:bCs/>
                <w:color w:val="000000"/>
                <w:sz w:val="18"/>
                <w:szCs w:val="18"/>
              </w:rPr>
              <w:t>素质目标：</w:t>
            </w:r>
          </w:p>
          <w:p w14:paraId="13BAC524">
            <w:pPr>
              <w:snapToGrid w:val="0"/>
              <w:jc w:val="left"/>
              <w:rPr>
                <w:rFonts w:ascii="宋体" w:hAnsi="宋体"/>
                <w:color w:val="000000"/>
                <w:sz w:val="18"/>
                <w:szCs w:val="18"/>
              </w:rPr>
            </w:pPr>
            <w:r>
              <w:rPr>
                <w:rFonts w:hint="eastAsia" w:ascii="宋体" w:hAnsi="宋体"/>
                <w:color w:val="000000"/>
                <w:sz w:val="18"/>
                <w:szCs w:val="18"/>
              </w:rPr>
              <w:t>培养学生的风险意识，培养学生具备良好的心理素质、抗压能力和团结协作能力。</w:t>
            </w:r>
          </w:p>
          <w:p w14:paraId="3E3569E7">
            <w:pPr>
              <w:snapToGrid w:val="0"/>
              <w:jc w:val="left"/>
              <w:rPr>
                <w:rFonts w:ascii="宋体" w:hAnsi="宋体"/>
                <w:b/>
                <w:bCs/>
                <w:color w:val="000000"/>
                <w:sz w:val="18"/>
                <w:szCs w:val="18"/>
              </w:rPr>
            </w:pPr>
            <w:r>
              <w:rPr>
                <w:rFonts w:hint="eastAsia" w:ascii="宋体" w:hAnsi="宋体"/>
                <w:b/>
                <w:bCs/>
                <w:color w:val="000000"/>
                <w:sz w:val="18"/>
                <w:szCs w:val="18"/>
              </w:rPr>
              <w:t>知识目标：</w:t>
            </w:r>
          </w:p>
          <w:p w14:paraId="48B91DBC">
            <w:pPr>
              <w:snapToGrid w:val="0"/>
              <w:jc w:val="left"/>
              <w:rPr>
                <w:rFonts w:ascii="宋体" w:hAnsi="宋体"/>
                <w:color w:val="000000"/>
                <w:sz w:val="18"/>
                <w:szCs w:val="18"/>
              </w:rPr>
            </w:pPr>
            <w:r>
              <w:rPr>
                <w:rFonts w:hint="eastAsia" w:ascii="宋体" w:hAnsi="宋体"/>
                <w:color w:val="000000"/>
                <w:sz w:val="18"/>
                <w:szCs w:val="18"/>
              </w:rPr>
              <w:t>通过本课程学习，学生能够掌握风险管理的基本原理，掌握风险识别、风险估测、风险评价及不同类别风险管理的内容及方法。</w:t>
            </w:r>
          </w:p>
          <w:p w14:paraId="5ABE728C">
            <w:pPr>
              <w:snapToGrid w:val="0"/>
              <w:jc w:val="left"/>
              <w:rPr>
                <w:rFonts w:ascii="宋体" w:hAnsi="宋体"/>
                <w:b/>
                <w:bCs/>
                <w:color w:val="000000"/>
                <w:sz w:val="18"/>
                <w:szCs w:val="18"/>
              </w:rPr>
            </w:pPr>
            <w:r>
              <w:rPr>
                <w:rFonts w:hint="eastAsia" w:ascii="宋体" w:hAnsi="宋体"/>
                <w:b/>
                <w:bCs/>
                <w:color w:val="000000"/>
                <w:sz w:val="18"/>
                <w:szCs w:val="18"/>
              </w:rPr>
              <w:t>能力目标：</w:t>
            </w:r>
          </w:p>
          <w:p w14:paraId="0E042779">
            <w:pPr>
              <w:snapToGrid w:val="0"/>
              <w:jc w:val="left"/>
              <w:rPr>
                <w:rFonts w:ascii="宋体" w:hAnsi="宋体"/>
                <w:color w:val="000000"/>
                <w:sz w:val="18"/>
                <w:szCs w:val="18"/>
              </w:rPr>
            </w:pPr>
            <w:r>
              <w:rPr>
                <w:rFonts w:hint="eastAsia" w:ascii="宋体" w:hAnsi="宋体"/>
                <w:color w:val="000000"/>
                <w:sz w:val="18"/>
                <w:szCs w:val="18"/>
              </w:rPr>
              <w:t>能进行风险识别，能进行风险预防与控制。</w:t>
            </w:r>
          </w:p>
        </w:tc>
        <w:tc>
          <w:tcPr>
            <w:tcW w:w="2370" w:type="dxa"/>
          </w:tcPr>
          <w:p w14:paraId="54F046A1">
            <w:pPr>
              <w:snapToGrid w:val="0"/>
              <w:jc w:val="left"/>
              <w:rPr>
                <w:rFonts w:ascii="宋体" w:hAnsi="宋体"/>
                <w:color w:val="000000"/>
                <w:sz w:val="18"/>
                <w:szCs w:val="18"/>
              </w:rPr>
            </w:pPr>
            <w:r>
              <w:rPr>
                <w:rFonts w:hint="eastAsia" w:ascii="宋体" w:hAnsi="宋体"/>
                <w:color w:val="000000"/>
                <w:sz w:val="18"/>
                <w:szCs w:val="18"/>
              </w:rPr>
              <w:t>（1）风险管理导论；</w:t>
            </w:r>
          </w:p>
          <w:p w14:paraId="5C01FF15">
            <w:pPr>
              <w:snapToGrid w:val="0"/>
              <w:jc w:val="left"/>
              <w:rPr>
                <w:rFonts w:ascii="宋体" w:hAnsi="宋体"/>
                <w:color w:val="000000"/>
                <w:sz w:val="18"/>
                <w:szCs w:val="18"/>
              </w:rPr>
            </w:pPr>
            <w:r>
              <w:rPr>
                <w:rFonts w:hint="eastAsia" w:ascii="宋体" w:hAnsi="宋体"/>
                <w:color w:val="000000"/>
                <w:sz w:val="18"/>
                <w:szCs w:val="18"/>
              </w:rPr>
              <w:t>（2）风险识别、分析与评估；</w:t>
            </w:r>
          </w:p>
          <w:p w14:paraId="51B7C811">
            <w:pPr>
              <w:snapToGrid w:val="0"/>
              <w:jc w:val="left"/>
              <w:rPr>
                <w:rFonts w:ascii="宋体" w:hAnsi="宋体"/>
                <w:color w:val="000000"/>
                <w:sz w:val="18"/>
                <w:szCs w:val="18"/>
              </w:rPr>
            </w:pPr>
            <w:r>
              <w:rPr>
                <w:rFonts w:hint="eastAsia" w:ascii="宋体" w:hAnsi="宋体"/>
                <w:color w:val="000000"/>
                <w:sz w:val="18"/>
                <w:szCs w:val="18"/>
              </w:rPr>
              <w:t>（3）风险管理体系；</w:t>
            </w:r>
          </w:p>
          <w:p w14:paraId="441E18C7">
            <w:pPr>
              <w:snapToGrid w:val="0"/>
              <w:jc w:val="left"/>
              <w:rPr>
                <w:rFonts w:ascii="宋体" w:hAnsi="宋体"/>
                <w:color w:val="000000"/>
                <w:sz w:val="18"/>
                <w:szCs w:val="18"/>
              </w:rPr>
            </w:pPr>
            <w:r>
              <w:rPr>
                <w:rFonts w:hint="eastAsia" w:ascii="宋体" w:hAnsi="宋体"/>
                <w:color w:val="000000"/>
                <w:sz w:val="18"/>
                <w:szCs w:val="18"/>
              </w:rPr>
              <w:t>（4）内部控制与评价</w:t>
            </w:r>
          </w:p>
          <w:p w14:paraId="56A9A290">
            <w:pPr>
              <w:snapToGrid w:val="0"/>
              <w:jc w:val="left"/>
              <w:rPr>
                <w:rFonts w:ascii="宋体" w:hAnsi="宋体"/>
                <w:color w:val="000000"/>
                <w:sz w:val="18"/>
                <w:szCs w:val="18"/>
              </w:rPr>
            </w:pPr>
            <w:r>
              <w:rPr>
                <w:rFonts w:hint="eastAsia" w:ascii="宋体" w:hAnsi="宋体"/>
                <w:color w:val="000000"/>
                <w:sz w:val="18"/>
                <w:szCs w:val="18"/>
              </w:rPr>
              <w:t>（5）纯粹风险管理；</w:t>
            </w:r>
          </w:p>
          <w:p w14:paraId="1F14C337">
            <w:pPr>
              <w:snapToGrid w:val="0"/>
              <w:jc w:val="left"/>
              <w:rPr>
                <w:rFonts w:ascii="宋体" w:hAnsi="宋体"/>
                <w:color w:val="000000"/>
                <w:sz w:val="18"/>
                <w:szCs w:val="18"/>
              </w:rPr>
            </w:pPr>
            <w:r>
              <w:rPr>
                <w:rFonts w:hint="eastAsia" w:ascii="宋体" w:hAnsi="宋体"/>
                <w:color w:val="000000"/>
                <w:sz w:val="18"/>
                <w:szCs w:val="18"/>
              </w:rPr>
              <w:t>（6）信用风险管理；</w:t>
            </w:r>
          </w:p>
          <w:p w14:paraId="79297889">
            <w:pPr>
              <w:snapToGrid w:val="0"/>
              <w:jc w:val="left"/>
              <w:rPr>
                <w:rFonts w:ascii="宋体" w:hAnsi="宋体"/>
                <w:color w:val="000000"/>
                <w:sz w:val="18"/>
                <w:szCs w:val="18"/>
              </w:rPr>
            </w:pPr>
            <w:r>
              <w:rPr>
                <w:rFonts w:hint="eastAsia" w:ascii="宋体" w:hAnsi="宋体"/>
                <w:color w:val="000000"/>
                <w:sz w:val="18"/>
                <w:szCs w:val="18"/>
              </w:rPr>
              <w:t>（7）操作风险管理；</w:t>
            </w:r>
          </w:p>
          <w:p w14:paraId="3DF60E12">
            <w:pPr>
              <w:snapToGrid w:val="0"/>
              <w:jc w:val="left"/>
              <w:rPr>
                <w:rFonts w:ascii="宋体" w:hAnsi="宋体"/>
                <w:color w:val="000000"/>
                <w:sz w:val="18"/>
                <w:szCs w:val="18"/>
              </w:rPr>
            </w:pPr>
            <w:r>
              <w:rPr>
                <w:rFonts w:hint="eastAsia" w:ascii="宋体" w:hAnsi="宋体"/>
                <w:color w:val="000000"/>
                <w:sz w:val="18"/>
                <w:szCs w:val="18"/>
              </w:rPr>
              <w:t>（8）市场风险管理；</w:t>
            </w:r>
          </w:p>
          <w:p w14:paraId="1356FF61">
            <w:pPr>
              <w:snapToGrid w:val="0"/>
              <w:jc w:val="left"/>
              <w:rPr>
                <w:rFonts w:ascii="宋体" w:hAnsi="宋体"/>
                <w:color w:val="000000"/>
                <w:sz w:val="18"/>
                <w:szCs w:val="18"/>
              </w:rPr>
            </w:pPr>
            <w:r>
              <w:rPr>
                <w:rFonts w:hint="eastAsia" w:ascii="宋体" w:hAnsi="宋体"/>
                <w:color w:val="000000"/>
                <w:sz w:val="18"/>
                <w:szCs w:val="18"/>
              </w:rPr>
              <w:t>（9）流动性风险管理；</w:t>
            </w:r>
          </w:p>
          <w:p w14:paraId="52B77173">
            <w:pPr>
              <w:snapToGrid w:val="0"/>
              <w:jc w:val="left"/>
              <w:rPr>
                <w:rFonts w:ascii="宋体" w:hAnsi="宋体"/>
                <w:color w:val="000000"/>
                <w:sz w:val="18"/>
                <w:szCs w:val="18"/>
              </w:rPr>
            </w:pPr>
            <w:r>
              <w:rPr>
                <w:rFonts w:hint="eastAsia" w:ascii="宋体" w:hAnsi="宋体"/>
                <w:color w:val="000000"/>
                <w:sz w:val="18"/>
                <w:szCs w:val="18"/>
              </w:rPr>
              <w:t>（10）其他风险管理；</w:t>
            </w:r>
          </w:p>
          <w:p w14:paraId="67B023ED">
            <w:pPr>
              <w:snapToGrid w:val="0"/>
              <w:jc w:val="left"/>
              <w:rPr>
                <w:rFonts w:ascii="宋体" w:hAnsi="宋体"/>
                <w:color w:val="000000"/>
                <w:sz w:val="18"/>
                <w:szCs w:val="18"/>
              </w:rPr>
            </w:pPr>
            <w:r>
              <w:rPr>
                <w:rFonts w:hint="eastAsia" w:ascii="宋体" w:hAnsi="宋体"/>
                <w:color w:val="000000"/>
                <w:sz w:val="18"/>
                <w:szCs w:val="18"/>
              </w:rPr>
              <w:t>（11）银行监管与市场约束</w:t>
            </w:r>
          </w:p>
        </w:tc>
        <w:tc>
          <w:tcPr>
            <w:tcW w:w="2512" w:type="dxa"/>
          </w:tcPr>
          <w:p w14:paraId="20E7CA03">
            <w:pPr>
              <w:snapToGrid w:val="0"/>
              <w:jc w:val="left"/>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69AF03C9">
            <w:pPr>
              <w:snapToGrid w:val="0"/>
              <w:jc w:val="left"/>
              <w:rPr>
                <w:rFonts w:ascii="宋体" w:hAnsi="宋体"/>
                <w:color w:val="000000"/>
                <w:sz w:val="18"/>
                <w:szCs w:val="18"/>
              </w:rPr>
            </w:pPr>
            <w:r>
              <w:rPr>
                <w:rFonts w:hint="eastAsia" w:ascii="宋体" w:hAnsi="宋体"/>
                <w:color w:val="000000"/>
                <w:sz w:val="18"/>
                <w:szCs w:val="18"/>
              </w:rPr>
              <w:t>（2）教学方法：坚持以学生为中心，结合案例教学、启发式教学、讨论等多种教学方法，同时融入课程思政，将立德树人贯穿始终。</w:t>
            </w:r>
          </w:p>
          <w:p w14:paraId="47470293">
            <w:pPr>
              <w:snapToGrid w:val="0"/>
              <w:jc w:val="left"/>
              <w:rPr>
                <w:rFonts w:ascii="宋体" w:hAnsi="宋体"/>
                <w:color w:val="000000"/>
                <w:sz w:val="18"/>
                <w:szCs w:val="18"/>
              </w:rPr>
            </w:pPr>
            <w:r>
              <w:rPr>
                <w:rFonts w:hint="eastAsia" w:ascii="宋体" w:hAnsi="宋体"/>
                <w:color w:val="000000"/>
                <w:sz w:val="18"/>
                <w:szCs w:val="18"/>
              </w:rPr>
              <w:t>（3）师资要求：担任本课程的教师应该具备扎实的专业基础知识和管理实践经验，具有市场敏锐度。</w:t>
            </w:r>
          </w:p>
          <w:p w14:paraId="4C704321">
            <w:pPr>
              <w:snapToGrid w:val="0"/>
              <w:jc w:val="left"/>
              <w:rPr>
                <w:rFonts w:ascii="宋体" w:hAnsi="宋体"/>
                <w:color w:val="000000"/>
                <w:sz w:val="18"/>
                <w:szCs w:val="18"/>
              </w:rPr>
            </w:pPr>
            <w:r>
              <w:rPr>
                <w:rFonts w:hint="eastAsia" w:ascii="宋体" w:hAnsi="宋体"/>
                <w:color w:val="000000"/>
                <w:sz w:val="18"/>
                <w:szCs w:val="18"/>
              </w:rPr>
              <w:t>（4）课程考核：采用过程考核与结果考核相结合。过程考核占总成绩的30%，期末考核占总成绩的70%。</w:t>
            </w:r>
          </w:p>
        </w:tc>
      </w:tr>
      <w:tr w14:paraId="6372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Align w:val="center"/>
          </w:tcPr>
          <w:p w14:paraId="481111B7">
            <w:pPr>
              <w:adjustRightInd w:val="0"/>
              <w:snapToGrid w:val="0"/>
              <w:spacing w:line="276" w:lineRule="auto"/>
              <w:rPr>
                <w:rFonts w:ascii="宋体" w:hAnsi="宋体" w:cs="宋体"/>
                <w:sz w:val="18"/>
                <w:szCs w:val="18"/>
              </w:rPr>
            </w:pPr>
            <w:r>
              <w:rPr>
                <w:rFonts w:hint="eastAsia" w:ascii="宋体" w:hAnsi="宋体"/>
                <w:sz w:val="18"/>
                <w:szCs w:val="18"/>
              </w:rPr>
              <w:t>汽车金融</w:t>
            </w:r>
          </w:p>
        </w:tc>
        <w:tc>
          <w:tcPr>
            <w:tcW w:w="2865" w:type="dxa"/>
          </w:tcPr>
          <w:p w14:paraId="20E1790B">
            <w:pPr>
              <w:snapToGrid w:val="0"/>
              <w:jc w:val="left"/>
              <w:rPr>
                <w:rFonts w:ascii="宋体" w:hAnsi="宋体"/>
                <w:b/>
                <w:bCs/>
                <w:color w:val="000000"/>
                <w:sz w:val="18"/>
                <w:szCs w:val="18"/>
              </w:rPr>
            </w:pPr>
            <w:r>
              <w:rPr>
                <w:rFonts w:hint="eastAsia" w:ascii="宋体" w:hAnsi="宋体"/>
                <w:b/>
                <w:bCs/>
                <w:color w:val="000000"/>
                <w:sz w:val="18"/>
                <w:szCs w:val="18"/>
              </w:rPr>
              <w:t>素质目标：</w:t>
            </w:r>
          </w:p>
          <w:p w14:paraId="39461600">
            <w:pPr>
              <w:snapToGrid w:val="0"/>
              <w:jc w:val="left"/>
              <w:rPr>
                <w:rFonts w:ascii="宋体" w:hAnsi="宋体"/>
                <w:color w:val="000000"/>
                <w:sz w:val="18"/>
                <w:szCs w:val="18"/>
              </w:rPr>
            </w:pPr>
            <w:r>
              <w:rPr>
                <w:rFonts w:hint="eastAsia" w:ascii="宋体" w:hAnsi="宋体"/>
                <w:color w:val="000000"/>
                <w:sz w:val="18"/>
                <w:szCs w:val="18"/>
              </w:rPr>
              <w:t>培养学生团结协作与沟通协调能力，培养学生良好的服务意识，树立良好的职业道德观念，。</w:t>
            </w:r>
          </w:p>
          <w:p w14:paraId="1253F705">
            <w:pPr>
              <w:snapToGrid w:val="0"/>
              <w:jc w:val="left"/>
              <w:rPr>
                <w:rFonts w:ascii="宋体" w:hAnsi="宋体"/>
                <w:b/>
                <w:bCs/>
                <w:color w:val="000000"/>
                <w:sz w:val="18"/>
                <w:szCs w:val="18"/>
              </w:rPr>
            </w:pPr>
            <w:r>
              <w:rPr>
                <w:rFonts w:hint="eastAsia" w:ascii="宋体" w:hAnsi="宋体"/>
                <w:b/>
                <w:bCs/>
                <w:color w:val="000000"/>
                <w:sz w:val="18"/>
                <w:szCs w:val="18"/>
              </w:rPr>
              <w:t>知识目标：</w:t>
            </w:r>
          </w:p>
          <w:p w14:paraId="344ACE18">
            <w:pPr>
              <w:snapToGrid w:val="0"/>
              <w:jc w:val="left"/>
              <w:rPr>
                <w:rFonts w:ascii="宋体" w:hAnsi="宋体"/>
                <w:color w:val="000000"/>
                <w:sz w:val="18"/>
                <w:szCs w:val="18"/>
              </w:rPr>
            </w:pPr>
            <w:r>
              <w:rPr>
                <w:rFonts w:hint="eastAsia" w:ascii="宋体" w:hAnsi="宋体"/>
                <w:color w:val="000000"/>
                <w:sz w:val="18"/>
                <w:szCs w:val="18"/>
              </w:rPr>
              <w:t>通过本课程的学习，学生能了解汽车金融的基本含义及功能，了解国内外汽车金融的主要服务模式，掌握汽车消费贷款的主要流程，.掌握汽车置换的主要方式，掌握汽车保险的承保流程、理赔流程。</w:t>
            </w:r>
          </w:p>
          <w:p w14:paraId="267FDA54">
            <w:pPr>
              <w:snapToGrid w:val="0"/>
              <w:jc w:val="left"/>
              <w:rPr>
                <w:rFonts w:ascii="宋体" w:hAnsi="宋体"/>
                <w:b/>
                <w:bCs/>
                <w:color w:val="000000"/>
                <w:sz w:val="18"/>
                <w:szCs w:val="18"/>
              </w:rPr>
            </w:pPr>
            <w:r>
              <w:rPr>
                <w:rFonts w:hint="eastAsia" w:ascii="宋体" w:hAnsi="宋体"/>
                <w:b/>
                <w:bCs/>
                <w:color w:val="000000"/>
                <w:sz w:val="18"/>
                <w:szCs w:val="18"/>
              </w:rPr>
              <w:t>能力目标：</w:t>
            </w:r>
          </w:p>
          <w:p w14:paraId="7F885D81">
            <w:pPr>
              <w:snapToGrid w:val="0"/>
              <w:jc w:val="left"/>
              <w:rPr>
                <w:rFonts w:ascii="宋体" w:hAnsi="宋体"/>
                <w:color w:val="000000"/>
                <w:sz w:val="18"/>
                <w:szCs w:val="18"/>
              </w:rPr>
            </w:pPr>
            <w:r>
              <w:rPr>
                <w:rFonts w:hint="eastAsia" w:ascii="宋体" w:hAnsi="宋体"/>
                <w:color w:val="000000"/>
                <w:sz w:val="18"/>
                <w:szCs w:val="18"/>
              </w:rPr>
              <w:t>能为客户讲解金融产品；能为客户讲解贷款流程；能协助客户准备贷款资料，能为客户承保与理赔。</w:t>
            </w:r>
          </w:p>
        </w:tc>
        <w:tc>
          <w:tcPr>
            <w:tcW w:w="2370" w:type="dxa"/>
          </w:tcPr>
          <w:p w14:paraId="6B4F38FC">
            <w:pPr>
              <w:snapToGrid w:val="0"/>
              <w:jc w:val="left"/>
              <w:rPr>
                <w:rFonts w:ascii="宋体" w:hAnsi="宋体"/>
                <w:color w:val="000000"/>
                <w:sz w:val="18"/>
                <w:szCs w:val="18"/>
              </w:rPr>
            </w:pPr>
            <w:r>
              <w:rPr>
                <w:rFonts w:hint="eastAsia" w:ascii="宋体" w:hAnsi="宋体"/>
                <w:color w:val="000000"/>
                <w:sz w:val="18"/>
                <w:szCs w:val="18"/>
              </w:rPr>
              <w:t>（1）金融与汽车金融概述</w:t>
            </w:r>
          </w:p>
          <w:p w14:paraId="406D19F5">
            <w:pPr>
              <w:snapToGrid w:val="0"/>
              <w:jc w:val="left"/>
              <w:rPr>
                <w:rFonts w:ascii="宋体" w:hAnsi="宋体"/>
                <w:color w:val="000000"/>
                <w:sz w:val="18"/>
                <w:szCs w:val="18"/>
              </w:rPr>
            </w:pPr>
            <w:r>
              <w:rPr>
                <w:rFonts w:hint="eastAsia" w:ascii="宋体" w:hAnsi="宋体"/>
                <w:color w:val="000000"/>
                <w:sz w:val="18"/>
                <w:szCs w:val="18"/>
              </w:rPr>
              <w:t>（2）汽车金融服务运作模式</w:t>
            </w:r>
          </w:p>
          <w:p w14:paraId="5C9B7C95">
            <w:pPr>
              <w:snapToGrid w:val="0"/>
              <w:jc w:val="left"/>
              <w:rPr>
                <w:rFonts w:ascii="宋体" w:hAnsi="宋体"/>
                <w:color w:val="000000"/>
                <w:sz w:val="18"/>
                <w:szCs w:val="18"/>
              </w:rPr>
            </w:pPr>
            <w:r>
              <w:rPr>
                <w:rFonts w:hint="eastAsia" w:ascii="宋体" w:hAnsi="宋体"/>
                <w:color w:val="000000"/>
                <w:sz w:val="18"/>
                <w:szCs w:val="18"/>
              </w:rPr>
              <w:t>（3）汽车消费信贷</w:t>
            </w:r>
          </w:p>
          <w:p w14:paraId="54A6CD01">
            <w:pPr>
              <w:snapToGrid w:val="0"/>
              <w:jc w:val="left"/>
              <w:rPr>
                <w:rFonts w:ascii="宋体" w:hAnsi="宋体"/>
                <w:color w:val="000000"/>
                <w:sz w:val="18"/>
                <w:szCs w:val="18"/>
              </w:rPr>
            </w:pPr>
            <w:r>
              <w:rPr>
                <w:rFonts w:hint="eastAsia" w:ascii="宋体" w:hAnsi="宋体"/>
                <w:color w:val="000000"/>
                <w:sz w:val="18"/>
                <w:szCs w:val="18"/>
              </w:rPr>
              <w:t>（4）汽车租赁及置换</w:t>
            </w:r>
          </w:p>
          <w:p w14:paraId="0A8DA243">
            <w:pPr>
              <w:snapToGrid w:val="0"/>
              <w:jc w:val="left"/>
              <w:rPr>
                <w:rFonts w:ascii="宋体" w:hAnsi="宋体"/>
                <w:color w:val="000000"/>
                <w:sz w:val="18"/>
                <w:szCs w:val="18"/>
              </w:rPr>
            </w:pPr>
            <w:r>
              <w:rPr>
                <w:rFonts w:hint="eastAsia" w:ascii="宋体" w:hAnsi="宋体"/>
                <w:color w:val="000000"/>
                <w:sz w:val="18"/>
                <w:szCs w:val="18"/>
              </w:rPr>
              <w:t>（5）汽车保险概述</w:t>
            </w:r>
          </w:p>
          <w:p w14:paraId="6080AEFB">
            <w:pPr>
              <w:snapToGrid w:val="0"/>
              <w:jc w:val="left"/>
              <w:rPr>
                <w:rFonts w:ascii="宋体" w:hAnsi="宋体"/>
                <w:color w:val="000000"/>
                <w:sz w:val="18"/>
                <w:szCs w:val="18"/>
              </w:rPr>
            </w:pPr>
            <w:r>
              <w:rPr>
                <w:rFonts w:hint="eastAsia" w:ascii="宋体" w:hAnsi="宋体"/>
                <w:color w:val="000000"/>
                <w:sz w:val="18"/>
                <w:szCs w:val="18"/>
              </w:rPr>
              <w:t>（6）汽车保险的险种</w:t>
            </w:r>
          </w:p>
          <w:p w14:paraId="4B10E895">
            <w:pPr>
              <w:snapToGrid w:val="0"/>
              <w:jc w:val="left"/>
              <w:rPr>
                <w:rFonts w:ascii="宋体" w:hAnsi="宋体"/>
                <w:color w:val="000000"/>
                <w:sz w:val="18"/>
                <w:szCs w:val="18"/>
              </w:rPr>
            </w:pPr>
            <w:r>
              <w:rPr>
                <w:rFonts w:hint="eastAsia" w:ascii="宋体" w:hAnsi="宋体"/>
                <w:color w:val="000000"/>
                <w:sz w:val="18"/>
                <w:szCs w:val="18"/>
              </w:rPr>
              <w:t>（7）机动车辆保险投保与核保</w:t>
            </w:r>
          </w:p>
          <w:p w14:paraId="3756902C">
            <w:pPr>
              <w:snapToGrid w:val="0"/>
              <w:jc w:val="left"/>
              <w:rPr>
                <w:rFonts w:ascii="宋体" w:hAnsi="宋体"/>
                <w:color w:val="000000"/>
                <w:sz w:val="18"/>
                <w:szCs w:val="18"/>
              </w:rPr>
            </w:pPr>
            <w:r>
              <w:rPr>
                <w:rFonts w:hint="eastAsia" w:ascii="宋体" w:hAnsi="宋体"/>
                <w:color w:val="000000"/>
                <w:sz w:val="18"/>
                <w:szCs w:val="18"/>
              </w:rPr>
              <w:t>（8）汽车保险理赔</w:t>
            </w:r>
          </w:p>
        </w:tc>
        <w:tc>
          <w:tcPr>
            <w:tcW w:w="2512" w:type="dxa"/>
          </w:tcPr>
          <w:p w14:paraId="18C1D828">
            <w:pPr>
              <w:snapToGrid w:val="0"/>
              <w:jc w:val="left"/>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6D8C29CE">
            <w:pPr>
              <w:snapToGrid w:val="0"/>
              <w:jc w:val="left"/>
              <w:rPr>
                <w:rFonts w:ascii="宋体" w:hAnsi="宋体"/>
                <w:color w:val="000000"/>
                <w:sz w:val="18"/>
                <w:szCs w:val="18"/>
              </w:rPr>
            </w:pPr>
            <w:r>
              <w:rPr>
                <w:rFonts w:hint="eastAsia" w:ascii="宋体" w:hAnsi="宋体"/>
                <w:color w:val="000000"/>
                <w:sz w:val="18"/>
                <w:szCs w:val="18"/>
              </w:rPr>
              <w:t>（2）教学方法：坚持以学生为中心，结合角色扮演、任务驱动等多种教学方法，同时融入课程思政，将立德树人贯穿始终。</w:t>
            </w:r>
          </w:p>
          <w:p w14:paraId="598EDFA0">
            <w:pPr>
              <w:snapToGrid w:val="0"/>
              <w:jc w:val="left"/>
              <w:rPr>
                <w:rFonts w:ascii="宋体" w:hAnsi="宋体"/>
                <w:color w:val="000000"/>
                <w:sz w:val="18"/>
                <w:szCs w:val="18"/>
              </w:rPr>
            </w:pPr>
            <w:r>
              <w:rPr>
                <w:rFonts w:hint="eastAsia" w:ascii="宋体" w:hAnsi="宋体"/>
                <w:color w:val="000000"/>
                <w:sz w:val="18"/>
                <w:szCs w:val="18"/>
              </w:rPr>
              <w:t>（3）师资要求：担任本课程的教师应该具备扎实的金融基础知识及汽车金融市场专业知识。</w:t>
            </w:r>
          </w:p>
          <w:p w14:paraId="1AF5804B">
            <w:pPr>
              <w:snapToGrid w:val="0"/>
              <w:jc w:val="left"/>
              <w:rPr>
                <w:rFonts w:ascii="宋体" w:hAnsi="宋体"/>
                <w:color w:val="000000"/>
                <w:sz w:val="18"/>
                <w:szCs w:val="18"/>
              </w:rPr>
            </w:pPr>
            <w:r>
              <w:rPr>
                <w:rFonts w:hint="eastAsia" w:ascii="宋体" w:hAnsi="宋体"/>
                <w:color w:val="000000"/>
                <w:sz w:val="18"/>
                <w:szCs w:val="18"/>
              </w:rPr>
              <w:t>（4）课程考核：采用过程考核与结果考核相结合。过程考核占总成绩的30%，期末考核占总成绩的70%。</w:t>
            </w:r>
          </w:p>
        </w:tc>
      </w:tr>
      <w:tr w14:paraId="73C6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7" w:type="dxa"/>
            <w:vAlign w:val="center"/>
          </w:tcPr>
          <w:p w14:paraId="0289A76B">
            <w:pPr>
              <w:rPr>
                <w:rFonts w:ascii="宋体" w:hAnsi="宋体" w:cs="宋体"/>
                <w:sz w:val="18"/>
                <w:szCs w:val="18"/>
              </w:rPr>
            </w:pPr>
            <w:r>
              <w:rPr>
                <w:rFonts w:hint="eastAsia" w:asciiTheme="minorEastAsia" w:hAnsiTheme="minorEastAsia" w:eastAsiaTheme="minorEastAsia"/>
                <w:bCs/>
                <w:sz w:val="18"/>
                <w:szCs w:val="18"/>
              </w:rPr>
              <w:t>市场调查与预测</w:t>
            </w:r>
          </w:p>
        </w:tc>
        <w:tc>
          <w:tcPr>
            <w:tcW w:w="2865" w:type="dxa"/>
          </w:tcPr>
          <w:p w14:paraId="454E4538">
            <w:pPr>
              <w:snapToGrid w:val="0"/>
              <w:rPr>
                <w:rFonts w:ascii="宋体" w:hAnsi="宋体"/>
                <w:b/>
                <w:bCs/>
                <w:color w:val="000000"/>
                <w:sz w:val="18"/>
                <w:szCs w:val="18"/>
              </w:rPr>
            </w:pPr>
            <w:r>
              <w:rPr>
                <w:rFonts w:hint="eastAsia" w:ascii="宋体" w:hAnsi="宋体"/>
                <w:b/>
                <w:bCs/>
                <w:color w:val="000000"/>
                <w:sz w:val="18"/>
                <w:szCs w:val="18"/>
              </w:rPr>
              <w:t>素质目标：</w:t>
            </w:r>
          </w:p>
          <w:p w14:paraId="6E122FA3">
            <w:pPr>
              <w:snapToGrid w:val="0"/>
              <w:rPr>
                <w:rFonts w:ascii="宋体" w:hAnsi="宋体"/>
                <w:color w:val="000000"/>
                <w:sz w:val="18"/>
                <w:szCs w:val="18"/>
              </w:rPr>
            </w:pPr>
            <w:r>
              <w:rPr>
                <w:rFonts w:hint="eastAsia" w:ascii="宋体" w:hAnsi="宋体"/>
                <w:color w:val="000000"/>
                <w:sz w:val="18"/>
                <w:szCs w:val="18"/>
              </w:rPr>
              <w:t>培养学生团队分工与合作的意识，培养学生计划、组织、决策、执行等职业素养。</w:t>
            </w:r>
          </w:p>
          <w:p w14:paraId="0958A2D2">
            <w:pPr>
              <w:snapToGrid w:val="0"/>
              <w:rPr>
                <w:rFonts w:ascii="宋体" w:hAnsi="宋体"/>
                <w:b/>
                <w:bCs/>
                <w:color w:val="000000"/>
                <w:sz w:val="18"/>
                <w:szCs w:val="18"/>
              </w:rPr>
            </w:pPr>
            <w:r>
              <w:rPr>
                <w:rFonts w:hint="eastAsia" w:ascii="宋体" w:hAnsi="宋体"/>
                <w:b/>
                <w:bCs/>
                <w:color w:val="000000"/>
                <w:sz w:val="18"/>
                <w:szCs w:val="18"/>
              </w:rPr>
              <w:t>知识目标：</w:t>
            </w:r>
          </w:p>
          <w:p w14:paraId="461C3EC6">
            <w:pPr>
              <w:snapToGrid w:val="0"/>
              <w:rPr>
                <w:rFonts w:ascii="宋体" w:hAnsi="宋体"/>
                <w:color w:val="000000"/>
                <w:sz w:val="18"/>
                <w:szCs w:val="18"/>
              </w:rPr>
            </w:pPr>
            <w:r>
              <w:rPr>
                <w:rFonts w:hint="eastAsia" w:ascii="宋体" w:hAnsi="宋体"/>
                <w:color w:val="000000"/>
                <w:sz w:val="18"/>
                <w:szCs w:val="18"/>
              </w:rPr>
              <w:t>通过本课程的学习，学生能够掌握市场调查与预测的基本理论知识，掌握多种调查方法及调查资料的整理；掌握市场预测方法及调查报告撰写规范、格式及内容。</w:t>
            </w:r>
          </w:p>
          <w:p w14:paraId="03B9AE0D">
            <w:pPr>
              <w:snapToGrid w:val="0"/>
              <w:rPr>
                <w:rFonts w:ascii="宋体" w:hAnsi="宋体"/>
                <w:b/>
                <w:bCs/>
                <w:color w:val="000000"/>
                <w:sz w:val="18"/>
                <w:szCs w:val="18"/>
              </w:rPr>
            </w:pPr>
            <w:r>
              <w:rPr>
                <w:rFonts w:hint="eastAsia" w:ascii="宋体" w:hAnsi="宋体"/>
                <w:b/>
                <w:bCs/>
                <w:color w:val="000000"/>
                <w:sz w:val="18"/>
                <w:szCs w:val="18"/>
              </w:rPr>
              <w:t>能力目标：</w:t>
            </w:r>
          </w:p>
          <w:p w14:paraId="518054C2">
            <w:pPr>
              <w:snapToGrid w:val="0"/>
              <w:rPr>
                <w:rFonts w:ascii="宋体" w:hAnsi="宋体"/>
                <w:color w:val="000000"/>
                <w:sz w:val="18"/>
                <w:szCs w:val="18"/>
              </w:rPr>
            </w:pPr>
            <w:r>
              <w:rPr>
                <w:rFonts w:hint="eastAsia" w:ascii="宋体" w:hAnsi="宋体"/>
                <w:color w:val="000000"/>
                <w:sz w:val="18"/>
                <w:szCs w:val="18"/>
              </w:rPr>
              <w:t>能够设计市场调查方案，能够有效设计问卷并进行问卷的发放与回收，能够进行市场调查资料的整理和分析并撰写市场调查研究报告。</w:t>
            </w:r>
          </w:p>
        </w:tc>
        <w:tc>
          <w:tcPr>
            <w:tcW w:w="2370" w:type="dxa"/>
          </w:tcPr>
          <w:p w14:paraId="442E962E">
            <w:pPr>
              <w:snapToGrid w:val="0"/>
              <w:rPr>
                <w:rFonts w:ascii="宋体" w:hAnsi="宋体"/>
                <w:color w:val="000000"/>
                <w:sz w:val="18"/>
                <w:szCs w:val="18"/>
              </w:rPr>
            </w:pPr>
            <w:r>
              <w:rPr>
                <w:rFonts w:hint="eastAsia" w:ascii="宋体" w:hAnsi="宋体"/>
                <w:color w:val="000000"/>
                <w:sz w:val="18"/>
                <w:szCs w:val="18"/>
              </w:rPr>
              <w:t>（1）市场调查基本理论；</w:t>
            </w:r>
          </w:p>
          <w:p w14:paraId="468A3919">
            <w:pPr>
              <w:snapToGrid w:val="0"/>
              <w:rPr>
                <w:rFonts w:ascii="宋体" w:hAnsi="宋体"/>
                <w:color w:val="000000"/>
                <w:sz w:val="18"/>
                <w:szCs w:val="18"/>
              </w:rPr>
            </w:pPr>
            <w:r>
              <w:rPr>
                <w:rFonts w:hint="eastAsia" w:ascii="宋体" w:hAnsi="宋体"/>
                <w:color w:val="000000"/>
                <w:sz w:val="18"/>
                <w:szCs w:val="18"/>
              </w:rPr>
              <w:t>（2）文案调查；</w:t>
            </w:r>
          </w:p>
          <w:p w14:paraId="2C218B6A">
            <w:pPr>
              <w:snapToGrid w:val="0"/>
              <w:rPr>
                <w:rFonts w:ascii="宋体" w:hAnsi="宋体"/>
                <w:color w:val="000000"/>
                <w:sz w:val="18"/>
                <w:szCs w:val="18"/>
              </w:rPr>
            </w:pPr>
            <w:r>
              <w:rPr>
                <w:rFonts w:hint="eastAsia" w:ascii="宋体" w:hAnsi="宋体"/>
                <w:color w:val="000000"/>
                <w:sz w:val="18"/>
                <w:szCs w:val="18"/>
              </w:rPr>
              <w:t>（3）实地调查法；</w:t>
            </w:r>
          </w:p>
          <w:p w14:paraId="5BC56BFD">
            <w:pPr>
              <w:snapToGrid w:val="0"/>
              <w:rPr>
                <w:rFonts w:ascii="宋体" w:hAnsi="宋体"/>
                <w:color w:val="000000"/>
                <w:sz w:val="18"/>
                <w:szCs w:val="18"/>
              </w:rPr>
            </w:pPr>
            <w:r>
              <w:rPr>
                <w:rFonts w:hint="eastAsia" w:ascii="宋体" w:hAnsi="宋体"/>
                <w:color w:val="000000"/>
                <w:sz w:val="18"/>
                <w:szCs w:val="18"/>
              </w:rPr>
              <w:t>（4）问卷调查；</w:t>
            </w:r>
          </w:p>
          <w:p w14:paraId="19F2BD53">
            <w:pPr>
              <w:snapToGrid w:val="0"/>
              <w:rPr>
                <w:rFonts w:ascii="宋体" w:hAnsi="宋体"/>
                <w:color w:val="000000"/>
                <w:sz w:val="18"/>
                <w:szCs w:val="18"/>
              </w:rPr>
            </w:pPr>
            <w:r>
              <w:rPr>
                <w:rFonts w:hint="eastAsia" w:ascii="宋体" w:hAnsi="宋体"/>
                <w:color w:val="000000"/>
                <w:sz w:val="18"/>
                <w:szCs w:val="18"/>
              </w:rPr>
              <w:t>（5）抽样调查；</w:t>
            </w:r>
          </w:p>
          <w:p w14:paraId="0F0C3FD3">
            <w:pPr>
              <w:snapToGrid w:val="0"/>
              <w:rPr>
                <w:rFonts w:ascii="宋体" w:hAnsi="宋体"/>
                <w:color w:val="000000"/>
                <w:sz w:val="18"/>
                <w:szCs w:val="18"/>
              </w:rPr>
            </w:pPr>
            <w:r>
              <w:rPr>
                <w:rFonts w:hint="eastAsia" w:ascii="宋体" w:hAnsi="宋体"/>
                <w:color w:val="000000"/>
                <w:sz w:val="18"/>
                <w:szCs w:val="18"/>
              </w:rPr>
              <w:t>（6）市场调查资料整理的含义与程序；</w:t>
            </w:r>
          </w:p>
          <w:p w14:paraId="5ADD5078">
            <w:pPr>
              <w:snapToGrid w:val="0"/>
              <w:rPr>
                <w:rFonts w:ascii="宋体" w:hAnsi="宋体"/>
                <w:color w:val="000000"/>
                <w:sz w:val="18"/>
                <w:szCs w:val="18"/>
              </w:rPr>
            </w:pPr>
            <w:r>
              <w:rPr>
                <w:rFonts w:hint="eastAsia" w:ascii="宋体" w:hAnsi="宋体"/>
                <w:color w:val="000000"/>
                <w:sz w:val="18"/>
                <w:szCs w:val="18"/>
              </w:rPr>
              <w:t>（7）市场预测的基本原理；</w:t>
            </w:r>
          </w:p>
          <w:p w14:paraId="7B7A26B1">
            <w:pPr>
              <w:snapToGrid w:val="0"/>
              <w:rPr>
                <w:rFonts w:ascii="宋体" w:hAnsi="宋体"/>
                <w:color w:val="000000"/>
                <w:sz w:val="18"/>
                <w:szCs w:val="18"/>
              </w:rPr>
            </w:pPr>
            <w:r>
              <w:rPr>
                <w:rFonts w:hint="eastAsia" w:ascii="宋体" w:hAnsi="宋体"/>
                <w:color w:val="000000"/>
                <w:sz w:val="18"/>
                <w:szCs w:val="18"/>
              </w:rPr>
              <w:t>（8）时间序列预测法；</w:t>
            </w:r>
          </w:p>
          <w:p w14:paraId="173DF9F4">
            <w:pPr>
              <w:snapToGrid w:val="0"/>
              <w:rPr>
                <w:rFonts w:ascii="宋体" w:hAnsi="宋体"/>
                <w:color w:val="000000"/>
                <w:sz w:val="18"/>
                <w:szCs w:val="18"/>
              </w:rPr>
            </w:pPr>
            <w:r>
              <w:rPr>
                <w:rFonts w:hint="eastAsia" w:ascii="宋体" w:hAnsi="宋体"/>
                <w:color w:val="000000"/>
                <w:sz w:val="18"/>
                <w:szCs w:val="18"/>
              </w:rPr>
              <w:t>（9）定性预测的方法；</w:t>
            </w:r>
          </w:p>
          <w:p w14:paraId="28D90B54">
            <w:pPr>
              <w:snapToGrid w:val="0"/>
              <w:rPr>
                <w:rFonts w:ascii="宋体" w:hAnsi="宋体"/>
                <w:color w:val="000000"/>
                <w:sz w:val="18"/>
                <w:szCs w:val="18"/>
              </w:rPr>
            </w:pPr>
            <w:r>
              <w:rPr>
                <w:rFonts w:hint="eastAsia" w:ascii="宋体" w:hAnsi="宋体"/>
                <w:color w:val="000000"/>
                <w:sz w:val="18"/>
                <w:szCs w:val="18"/>
              </w:rPr>
              <w:t>（10）回归分析预测法；</w:t>
            </w:r>
          </w:p>
          <w:p w14:paraId="635B68E1">
            <w:pPr>
              <w:snapToGrid w:val="0"/>
              <w:rPr>
                <w:rFonts w:ascii="宋体" w:hAnsi="宋体"/>
                <w:color w:val="000000"/>
                <w:sz w:val="18"/>
                <w:szCs w:val="18"/>
              </w:rPr>
            </w:pPr>
            <w:r>
              <w:rPr>
                <w:rFonts w:hint="eastAsia" w:ascii="宋体" w:hAnsi="宋体"/>
                <w:color w:val="000000"/>
                <w:sz w:val="18"/>
                <w:szCs w:val="18"/>
              </w:rPr>
              <w:t>（11）市场调查报告。</w:t>
            </w:r>
          </w:p>
        </w:tc>
        <w:tc>
          <w:tcPr>
            <w:tcW w:w="2512" w:type="dxa"/>
          </w:tcPr>
          <w:p w14:paraId="6AFEEB06">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35C0DBD1">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（2）教学方法：坚持以学生为中心，结合案例教学、启发式教学、实操演练、实训等多种教学方法，同时融入课程思政，将立德树人贯穿始终。</w:t>
            </w:r>
          </w:p>
          <w:p w14:paraId="40C5CC44">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（3）师资要求：担任本课程的教师应该具备扎实的专业基础知识和实践经验，能指导学生设计调查方案，撰写调研报告。</w:t>
            </w:r>
          </w:p>
          <w:p w14:paraId="2DA22BA7">
            <w:pPr>
              <w:snapToGrid w:val="0"/>
              <w:rPr>
                <w:rFonts w:ascii="宋体" w:hAnsi="宋体"/>
                <w:color w:val="000000"/>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106B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dxa"/>
            <w:vAlign w:val="center"/>
          </w:tcPr>
          <w:p w14:paraId="0BDF7630">
            <w:pPr>
              <w:adjustRightInd w:val="0"/>
              <w:snapToGrid w:val="0"/>
              <w:spacing w:line="276" w:lineRule="auto"/>
              <w:rPr>
                <w:rFonts w:ascii="宋体" w:hAnsi="宋体" w:cs="宋体"/>
                <w:sz w:val="18"/>
                <w:szCs w:val="18"/>
              </w:rPr>
            </w:pPr>
            <w:r>
              <w:rPr>
                <w:rFonts w:hint="eastAsia" w:ascii="宋体" w:hAnsi="宋体" w:cs="宋体"/>
                <w:color w:val="000000" w:themeColor="text1"/>
                <w:sz w:val="18"/>
                <w:szCs w:val="18"/>
                <w:lang w:val="en-US" w:eastAsia="zh-CN"/>
              </w:rPr>
              <w:t>认识</w:t>
            </w:r>
            <w:r>
              <w:rPr>
                <w:rFonts w:hint="eastAsia" w:ascii="宋体" w:hAnsi="宋体" w:cs="宋体"/>
                <w:color w:val="000000" w:themeColor="text1"/>
                <w:sz w:val="18"/>
                <w:szCs w:val="18"/>
              </w:rPr>
              <w:t>实习</w:t>
            </w:r>
          </w:p>
        </w:tc>
        <w:tc>
          <w:tcPr>
            <w:tcW w:w="2865" w:type="dxa"/>
          </w:tcPr>
          <w:p w14:paraId="7EF798A2">
            <w:pPr>
              <w:snapToGrid w:val="0"/>
              <w:rPr>
                <w:rFonts w:ascii="宋体" w:hAnsi="宋体"/>
                <w:b/>
                <w:bCs/>
                <w:color w:val="000000"/>
                <w:sz w:val="18"/>
                <w:szCs w:val="18"/>
              </w:rPr>
            </w:pPr>
            <w:r>
              <w:rPr>
                <w:rFonts w:hint="eastAsia" w:ascii="宋体" w:hAnsi="宋体"/>
                <w:b/>
                <w:bCs/>
                <w:color w:val="000000"/>
                <w:sz w:val="18"/>
                <w:szCs w:val="18"/>
              </w:rPr>
              <w:t>素质目标：</w:t>
            </w:r>
          </w:p>
          <w:p w14:paraId="3E83F7FA">
            <w:pPr>
              <w:snapToGrid w:val="0"/>
              <w:rPr>
                <w:rFonts w:ascii="宋体" w:hAnsi="宋体"/>
                <w:color w:val="000000"/>
                <w:sz w:val="18"/>
                <w:szCs w:val="18"/>
              </w:rPr>
            </w:pPr>
            <w:r>
              <w:rPr>
                <w:rFonts w:hint="eastAsia" w:ascii="宋体" w:hAnsi="宋体"/>
                <w:color w:val="000000"/>
                <w:sz w:val="18"/>
                <w:szCs w:val="18"/>
              </w:rPr>
              <w:t>提升学生的社会交往能力，团队协作精神，培养学生细致、严谨、负责的工作作风；养成良好的职业素养。</w:t>
            </w:r>
          </w:p>
          <w:p w14:paraId="178697B6">
            <w:pPr>
              <w:snapToGrid w:val="0"/>
              <w:rPr>
                <w:rFonts w:ascii="宋体" w:hAnsi="宋体"/>
                <w:b/>
                <w:bCs/>
                <w:color w:val="000000"/>
                <w:sz w:val="18"/>
                <w:szCs w:val="18"/>
              </w:rPr>
            </w:pPr>
            <w:r>
              <w:rPr>
                <w:rFonts w:hint="eastAsia" w:ascii="宋体" w:hAnsi="宋体"/>
                <w:b/>
                <w:bCs/>
                <w:color w:val="000000"/>
                <w:sz w:val="18"/>
                <w:szCs w:val="18"/>
              </w:rPr>
              <w:t>知识目标：</w:t>
            </w:r>
          </w:p>
          <w:p w14:paraId="7F6F9F58">
            <w:pPr>
              <w:snapToGrid w:val="0"/>
              <w:rPr>
                <w:rFonts w:ascii="宋体" w:hAnsi="宋体"/>
                <w:color w:val="000000"/>
                <w:sz w:val="18"/>
                <w:szCs w:val="18"/>
              </w:rPr>
            </w:pPr>
            <w:r>
              <w:rPr>
                <w:rFonts w:hint="eastAsia" w:ascii="宋体" w:hAnsi="宋体"/>
                <w:color w:val="000000"/>
                <w:sz w:val="18"/>
                <w:szCs w:val="18"/>
              </w:rPr>
              <w:t>通过跟岗实习，学生能了解企业文化，熟悉企业经营环境、经营流程；熟悉工作职责与工作流程。</w:t>
            </w:r>
          </w:p>
          <w:p w14:paraId="362B9F3A">
            <w:pPr>
              <w:snapToGrid w:val="0"/>
              <w:rPr>
                <w:rFonts w:ascii="宋体" w:hAnsi="宋体"/>
                <w:b/>
                <w:bCs/>
                <w:color w:val="000000"/>
                <w:sz w:val="18"/>
                <w:szCs w:val="18"/>
              </w:rPr>
            </w:pPr>
            <w:r>
              <w:rPr>
                <w:rFonts w:hint="eastAsia" w:ascii="宋体" w:hAnsi="宋体"/>
                <w:b/>
                <w:bCs/>
                <w:color w:val="000000"/>
                <w:sz w:val="18"/>
                <w:szCs w:val="18"/>
              </w:rPr>
              <w:t>能力目标：</w:t>
            </w:r>
          </w:p>
          <w:p w14:paraId="5360BB4F">
            <w:pPr>
              <w:snapToGrid w:val="0"/>
              <w:rPr>
                <w:rFonts w:ascii="宋体" w:hAnsi="宋体" w:cs="宋体"/>
                <w:sz w:val="18"/>
                <w:szCs w:val="18"/>
              </w:rPr>
            </w:pPr>
            <w:r>
              <w:rPr>
                <w:rFonts w:hint="eastAsia" w:ascii="宋体" w:hAnsi="宋体"/>
                <w:color w:val="000000"/>
                <w:sz w:val="18"/>
                <w:szCs w:val="18"/>
              </w:rPr>
              <w:t>能遵守企业的各项规章制度，能掌握跟岗实习岗位主要工作内容，能初步胜任跟岗岗位工作。</w:t>
            </w:r>
          </w:p>
        </w:tc>
        <w:tc>
          <w:tcPr>
            <w:tcW w:w="2370" w:type="dxa"/>
          </w:tcPr>
          <w:p w14:paraId="78E35229">
            <w:pPr>
              <w:snapToGrid w:val="0"/>
              <w:rPr>
                <w:rFonts w:ascii="宋体" w:hAnsi="宋体"/>
                <w:color w:val="000000"/>
                <w:sz w:val="18"/>
                <w:szCs w:val="18"/>
              </w:rPr>
            </w:pPr>
            <w:r>
              <w:rPr>
                <w:rFonts w:hint="eastAsia" w:ascii="宋体" w:hAnsi="宋体"/>
                <w:color w:val="000000"/>
                <w:sz w:val="18"/>
                <w:szCs w:val="18"/>
              </w:rPr>
              <w:t>（1）实习动员；</w:t>
            </w:r>
          </w:p>
          <w:p w14:paraId="726FBDF0">
            <w:pPr>
              <w:snapToGrid w:val="0"/>
              <w:rPr>
                <w:rFonts w:ascii="宋体" w:hAnsi="宋体"/>
                <w:color w:val="000000"/>
                <w:sz w:val="18"/>
                <w:szCs w:val="18"/>
              </w:rPr>
            </w:pPr>
            <w:r>
              <w:rPr>
                <w:rFonts w:hint="eastAsia" w:ascii="宋体" w:hAnsi="宋体"/>
                <w:color w:val="000000"/>
                <w:sz w:val="18"/>
                <w:szCs w:val="18"/>
              </w:rPr>
              <w:t>（2）实习政策解读；</w:t>
            </w:r>
          </w:p>
          <w:p w14:paraId="67CE5484">
            <w:pPr>
              <w:snapToGrid w:val="0"/>
              <w:rPr>
                <w:rFonts w:ascii="宋体" w:hAnsi="宋体"/>
                <w:color w:val="000000"/>
                <w:sz w:val="18"/>
                <w:szCs w:val="18"/>
              </w:rPr>
            </w:pPr>
            <w:r>
              <w:rPr>
                <w:rFonts w:hint="eastAsia" w:ascii="宋体" w:hAnsi="宋体"/>
                <w:color w:val="000000"/>
                <w:sz w:val="18"/>
                <w:szCs w:val="18"/>
              </w:rPr>
              <w:t>（3）实习过程跟踪与反馈；</w:t>
            </w:r>
          </w:p>
          <w:p w14:paraId="2E12F821">
            <w:pPr>
              <w:snapToGrid w:val="0"/>
              <w:rPr>
                <w:rFonts w:ascii="宋体" w:hAnsi="宋体"/>
                <w:color w:val="000000"/>
                <w:sz w:val="18"/>
                <w:szCs w:val="18"/>
              </w:rPr>
            </w:pPr>
            <w:r>
              <w:rPr>
                <w:rFonts w:hint="eastAsia" w:ascii="宋体" w:hAnsi="宋体"/>
                <w:color w:val="000000"/>
                <w:sz w:val="18"/>
                <w:szCs w:val="18"/>
              </w:rPr>
              <w:t>（4）实习情况交流总结。</w:t>
            </w:r>
          </w:p>
          <w:p w14:paraId="4B8D3015">
            <w:pPr>
              <w:snapToGrid w:val="0"/>
              <w:rPr>
                <w:rFonts w:ascii="宋体" w:hAnsi="宋体"/>
                <w:color w:val="000000"/>
                <w:sz w:val="18"/>
                <w:szCs w:val="18"/>
              </w:rPr>
            </w:pPr>
          </w:p>
          <w:p w14:paraId="041F35BD">
            <w:pPr>
              <w:snapToGrid w:val="0"/>
              <w:rPr>
                <w:rFonts w:ascii="宋体" w:hAnsi="宋体"/>
                <w:color w:val="000000"/>
                <w:sz w:val="18"/>
                <w:szCs w:val="18"/>
              </w:rPr>
            </w:pPr>
          </w:p>
          <w:p w14:paraId="37FAFF73">
            <w:pPr>
              <w:snapToGrid w:val="0"/>
              <w:rPr>
                <w:rFonts w:ascii="宋体" w:hAnsi="宋体" w:cs="宋体"/>
                <w:sz w:val="18"/>
                <w:szCs w:val="18"/>
              </w:rPr>
            </w:pPr>
          </w:p>
        </w:tc>
        <w:tc>
          <w:tcPr>
            <w:tcW w:w="2512" w:type="dxa"/>
          </w:tcPr>
          <w:p w14:paraId="648B7A8F">
            <w:pPr>
              <w:snapToGrid w:val="0"/>
              <w:rPr>
                <w:rFonts w:ascii="宋体" w:hAnsi="宋体"/>
                <w:color w:val="000000"/>
                <w:sz w:val="18"/>
                <w:szCs w:val="18"/>
              </w:rPr>
            </w:pPr>
            <w:r>
              <w:rPr>
                <w:rFonts w:hint="eastAsia" w:ascii="宋体" w:hAnsi="宋体"/>
                <w:color w:val="000000"/>
                <w:sz w:val="18"/>
                <w:szCs w:val="18"/>
              </w:rPr>
              <w:t>（1）教学条件：实训基地备有电脑。</w:t>
            </w:r>
          </w:p>
          <w:p w14:paraId="130F340A">
            <w:pPr>
              <w:snapToGrid w:val="0"/>
              <w:rPr>
                <w:rFonts w:ascii="宋体" w:hAnsi="宋体"/>
                <w:color w:val="000000"/>
                <w:sz w:val="18"/>
                <w:szCs w:val="18"/>
              </w:rPr>
            </w:pPr>
            <w:r>
              <w:rPr>
                <w:rFonts w:hint="eastAsia" w:ascii="宋体" w:hAnsi="宋体"/>
                <w:color w:val="000000"/>
                <w:sz w:val="18"/>
                <w:szCs w:val="18"/>
              </w:rPr>
              <w:t>（2）教学方法：坚持以学生为中心，理论联系实践，以实践为载体，提升学生实操运用能力。</w:t>
            </w:r>
          </w:p>
          <w:p w14:paraId="78936721">
            <w:pPr>
              <w:snapToGrid w:val="0"/>
              <w:rPr>
                <w:rFonts w:ascii="宋体" w:hAnsi="宋体"/>
                <w:color w:val="000000"/>
                <w:sz w:val="18"/>
                <w:szCs w:val="18"/>
              </w:rPr>
            </w:pPr>
            <w:r>
              <w:rPr>
                <w:rFonts w:hint="eastAsia" w:ascii="宋体" w:hAnsi="宋体"/>
                <w:color w:val="000000"/>
                <w:sz w:val="18"/>
                <w:szCs w:val="18"/>
              </w:rPr>
              <w:t>（3）师资要求：担任跟岗实习的教师应该具备扎实的专业基础知识和丰富的实践经验。</w:t>
            </w:r>
          </w:p>
          <w:p w14:paraId="0E167143">
            <w:pPr>
              <w:snapToGrid w:val="0"/>
              <w:rPr>
                <w:rFonts w:ascii="宋体" w:hAnsi="宋体" w:cs="宋体"/>
                <w:sz w:val="18"/>
                <w:szCs w:val="18"/>
              </w:rPr>
            </w:pPr>
            <w:r>
              <w:rPr>
                <w:rFonts w:hint="eastAsia" w:ascii="宋体" w:hAnsi="宋体"/>
                <w:color w:val="000000"/>
                <w:sz w:val="18"/>
                <w:szCs w:val="18"/>
              </w:rPr>
              <w:t>（4）课程考核：采用过程考核。</w:t>
            </w:r>
          </w:p>
        </w:tc>
      </w:tr>
      <w:tr w14:paraId="2FC9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dxa"/>
            <w:vAlign w:val="center"/>
          </w:tcPr>
          <w:p w14:paraId="35C25D8F">
            <w:pPr>
              <w:adjustRightInd w:val="0"/>
              <w:snapToGrid w:val="0"/>
              <w:spacing w:line="276" w:lineRule="auto"/>
              <w:rPr>
                <w:rFonts w:ascii="宋体" w:hAnsi="宋体" w:cs="宋体"/>
                <w:sz w:val="18"/>
                <w:szCs w:val="18"/>
              </w:rPr>
            </w:pPr>
            <w:r>
              <w:rPr>
                <w:rFonts w:hint="eastAsia" w:ascii="宋体" w:hAnsi="宋体" w:cs="宋体"/>
                <w:color w:val="000000" w:themeColor="text1"/>
                <w:sz w:val="18"/>
                <w:szCs w:val="18"/>
                <w:lang w:val="en-US" w:eastAsia="zh-CN"/>
              </w:rPr>
              <w:t>岗位</w:t>
            </w:r>
            <w:r>
              <w:rPr>
                <w:rFonts w:hint="eastAsia" w:ascii="宋体" w:hAnsi="宋体" w:cs="宋体"/>
                <w:color w:val="000000" w:themeColor="text1"/>
                <w:sz w:val="18"/>
                <w:szCs w:val="18"/>
              </w:rPr>
              <w:t>实习</w:t>
            </w:r>
          </w:p>
        </w:tc>
        <w:tc>
          <w:tcPr>
            <w:tcW w:w="2865" w:type="dxa"/>
          </w:tcPr>
          <w:p w14:paraId="3FB311DF">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5EE2D94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培养学生遵守职业道德规范，培养学生严谨细致的工作作风，勇于承担责任、敢于拼搏，乐于奉献的精神。</w:t>
            </w:r>
          </w:p>
          <w:p w14:paraId="4B5CE5CA">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2BD6BD3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通过顶岗实习，学生能熟悉企业的规章制度，熟悉企业经营环境、经营流程；熟悉工作岗位的内容，岗位职责；强化理论知识在实践中的运用。</w:t>
            </w:r>
          </w:p>
          <w:p w14:paraId="1F42B316">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37E2589E">
            <w:pPr>
              <w:snapToGrid w:val="0"/>
              <w:rPr>
                <w:rFonts w:ascii="宋体" w:hAnsi="宋体" w:cs="宋体"/>
                <w:sz w:val="18"/>
                <w:szCs w:val="18"/>
              </w:rPr>
            </w:pPr>
            <w:r>
              <w:rPr>
                <w:rFonts w:hint="eastAsia" w:asciiTheme="minorEastAsia" w:hAnsiTheme="minorEastAsia" w:eastAsiaTheme="minorEastAsia" w:cstheme="minorEastAsia"/>
                <w:sz w:val="18"/>
                <w:szCs w:val="18"/>
              </w:rPr>
              <w:t>能遵守企业的各项规章制度，能掌握实习岗位主要工作内容，能综合运用所学知识和技能解决实习岗位上遇到的一般性问题。</w:t>
            </w:r>
          </w:p>
        </w:tc>
        <w:tc>
          <w:tcPr>
            <w:tcW w:w="2370" w:type="dxa"/>
          </w:tcPr>
          <w:p w14:paraId="1EE53EF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（1）实习动员；</w:t>
            </w:r>
          </w:p>
          <w:p w14:paraId="308340B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（2）实习政策解读；</w:t>
            </w:r>
          </w:p>
          <w:p w14:paraId="3C8A472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（3）实习过程跟踪与反馈；</w:t>
            </w:r>
          </w:p>
          <w:p w14:paraId="4E20BFD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（4）实习情况交流总结。</w:t>
            </w:r>
          </w:p>
          <w:p w14:paraId="79306234">
            <w:pPr>
              <w:adjustRightInd w:val="0"/>
              <w:spacing w:line="276" w:lineRule="auto"/>
              <w:rPr>
                <w:rFonts w:ascii="宋体" w:hAnsi="宋体" w:cs="宋体"/>
                <w:sz w:val="18"/>
                <w:szCs w:val="18"/>
              </w:rPr>
            </w:pPr>
          </w:p>
        </w:tc>
        <w:tc>
          <w:tcPr>
            <w:tcW w:w="2512" w:type="dxa"/>
          </w:tcPr>
          <w:p w14:paraId="4496040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（1）教学条件：实训基地备有电脑。</w:t>
            </w:r>
          </w:p>
          <w:p w14:paraId="335C3FB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（2）教学方法：坚持以学生为中心，理论联系实践，以实践为载体，提升学生实操运用能力。</w:t>
            </w:r>
          </w:p>
          <w:p w14:paraId="7E09A82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（3）师资要求：担任顶岗实习的教师应该具备扎实的专业基础知识和丰富的实践经验。</w:t>
            </w:r>
          </w:p>
          <w:p w14:paraId="1313C083">
            <w:pPr>
              <w:snapToGrid w:val="0"/>
              <w:rPr>
                <w:rFonts w:ascii="宋体" w:hAnsi="宋体" w:cs="宋体"/>
                <w:sz w:val="18"/>
                <w:szCs w:val="18"/>
              </w:rPr>
            </w:pPr>
            <w:r>
              <w:rPr>
                <w:rFonts w:hint="eastAsia" w:asciiTheme="minorEastAsia" w:hAnsiTheme="minorEastAsia" w:eastAsiaTheme="minorEastAsia" w:cstheme="minorEastAsia"/>
                <w:sz w:val="18"/>
                <w:szCs w:val="18"/>
              </w:rPr>
              <w:t>（4）课程考核：采用过程考核。</w:t>
            </w:r>
          </w:p>
        </w:tc>
      </w:tr>
      <w:tr w14:paraId="1649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dxa"/>
            <w:vAlign w:val="center"/>
          </w:tcPr>
          <w:p w14:paraId="7AC12F82">
            <w:pPr>
              <w:adjustRightInd w:val="0"/>
              <w:snapToGrid w:val="0"/>
              <w:spacing w:line="276" w:lineRule="auto"/>
              <w:rPr>
                <w:rFonts w:ascii="宋体" w:hAnsi="宋体" w:cs="宋体"/>
                <w:color w:val="000000" w:themeColor="text1"/>
                <w:sz w:val="18"/>
                <w:szCs w:val="18"/>
              </w:rPr>
            </w:pPr>
            <w:r>
              <w:rPr>
                <w:rFonts w:hint="eastAsia" w:ascii="宋体" w:hAnsi="宋体" w:cs="宋体"/>
                <w:color w:val="000000" w:themeColor="text1"/>
                <w:sz w:val="18"/>
                <w:szCs w:val="18"/>
              </w:rPr>
              <w:t>毕业设计</w:t>
            </w:r>
          </w:p>
        </w:tc>
        <w:tc>
          <w:tcPr>
            <w:tcW w:w="2865" w:type="dxa"/>
          </w:tcPr>
          <w:p w14:paraId="6826E3FC">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196C333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培养学生良好的沟通能力，严谨细致的工作态度，积极进取的拼搏精神，养成良好的职业素养。</w:t>
            </w:r>
          </w:p>
          <w:p w14:paraId="13B48333">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0B49A42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通过毕业设计，学生能够掌握资料收集与整理的方法，掌握毕业设计格式，掌握撰写毕业设计的方法。 </w:t>
            </w:r>
          </w:p>
          <w:p w14:paraId="32DF8D8A">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114227D1">
            <w:pPr>
              <w:snapToGrid w:val="0"/>
              <w:rPr>
                <w:rFonts w:ascii="宋体" w:hAnsi="宋体" w:cs="宋体"/>
                <w:color w:val="000000" w:themeColor="text1"/>
                <w:sz w:val="18"/>
                <w:szCs w:val="18"/>
              </w:rPr>
            </w:pPr>
            <w:r>
              <w:rPr>
                <w:rFonts w:hint="eastAsia" w:asciiTheme="minorEastAsia" w:hAnsiTheme="minorEastAsia" w:eastAsiaTheme="minorEastAsia" w:cstheme="minorEastAsia"/>
                <w:sz w:val="18"/>
                <w:szCs w:val="18"/>
              </w:rPr>
              <w:t>巩固学生专业知识，提升学生文献资料收集整理分析能力，写作能力、图标文字处理能力。</w:t>
            </w:r>
          </w:p>
        </w:tc>
        <w:tc>
          <w:tcPr>
            <w:tcW w:w="2370" w:type="dxa"/>
          </w:tcPr>
          <w:p w14:paraId="05C9B16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（1）毕业设计选题；</w:t>
            </w:r>
          </w:p>
          <w:p w14:paraId="2197D76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（2）毕业设计各阶段要求及注意事项；</w:t>
            </w:r>
          </w:p>
          <w:p w14:paraId="3658088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（3）毕业设计格式要求；</w:t>
            </w:r>
          </w:p>
          <w:p w14:paraId="49040CD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（4）毕业设计任务书；</w:t>
            </w:r>
          </w:p>
          <w:p w14:paraId="2B71C65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（5）毕业设计初稿；</w:t>
            </w:r>
          </w:p>
          <w:p w14:paraId="21D26DB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（6）毕业设计正稿；</w:t>
            </w:r>
          </w:p>
          <w:p w14:paraId="0AFF975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（7）答辩记录</w:t>
            </w:r>
          </w:p>
          <w:p w14:paraId="207070FE">
            <w:pPr>
              <w:adjustRightInd w:val="0"/>
              <w:spacing w:line="276" w:lineRule="auto"/>
              <w:ind w:firstLine="360" w:firstLineChars="200"/>
              <w:rPr>
                <w:rFonts w:ascii="宋体" w:hAnsi="宋体" w:cs="宋体"/>
                <w:color w:val="000000" w:themeColor="text1"/>
                <w:sz w:val="18"/>
                <w:szCs w:val="18"/>
              </w:rPr>
            </w:pPr>
          </w:p>
        </w:tc>
        <w:tc>
          <w:tcPr>
            <w:tcW w:w="2512" w:type="dxa"/>
          </w:tcPr>
          <w:p w14:paraId="0AA2283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 主要使用电话、QQ、微信、视频等方式进行沟通。</w:t>
            </w:r>
          </w:p>
          <w:p w14:paraId="77E1308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（2）教学方法：指导老师一对一专项辅导。</w:t>
            </w:r>
          </w:p>
          <w:p w14:paraId="7D402B0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（3）师资要求：教师应该具备扎实的专业基础知识和实践经验，具备丰富的教学与学生管理经验。</w:t>
            </w:r>
          </w:p>
          <w:p w14:paraId="701F85D2">
            <w:pPr>
              <w:snapToGrid w:val="0"/>
              <w:rPr>
                <w:rFonts w:ascii="宋体" w:hAnsi="宋体" w:cs="宋体"/>
                <w:sz w:val="18"/>
                <w:szCs w:val="18"/>
              </w:rPr>
            </w:pPr>
            <w:r>
              <w:rPr>
                <w:rFonts w:hint="eastAsia" w:asciiTheme="minorEastAsia" w:hAnsiTheme="minorEastAsia" w:eastAsiaTheme="minorEastAsia" w:cstheme="minorEastAsia"/>
                <w:sz w:val="18"/>
                <w:szCs w:val="18"/>
              </w:rPr>
              <w:t>（4）课程考核：毕业设计成绩由“指导老师评阅成绩”和“答辩组成绩”两部分组成，占比为30%、70%。毕业设计成绩分为优秀、良好、及格、不及格。</w:t>
            </w:r>
          </w:p>
        </w:tc>
      </w:tr>
      <w:tr w14:paraId="249DF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7" w:type="dxa"/>
            <w:vAlign w:val="center"/>
          </w:tcPr>
          <w:p w14:paraId="3D345822">
            <w:pPr>
              <w:adjustRightInd w:val="0"/>
              <w:snapToGrid w:val="0"/>
              <w:spacing w:line="276" w:lineRule="auto"/>
              <w:rPr>
                <w:rFonts w:ascii="宋体" w:hAnsi="宋体" w:cs="宋体"/>
                <w:sz w:val="18"/>
                <w:szCs w:val="18"/>
              </w:rPr>
            </w:pPr>
            <w:r>
              <w:rPr>
                <w:rFonts w:hint="eastAsia" w:ascii="宋体" w:hAnsi="宋体" w:cs="宋体"/>
                <w:color w:val="000000" w:themeColor="text1"/>
                <w:sz w:val="18"/>
                <w:szCs w:val="18"/>
              </w:rPr>
              <w:t>毕业教育</w:t>
            </w:r>
          </w:p>
        </w:tc>
        <w:tc>
          <w:tcPr>
            <w:tcW w:w="2865" w:type="dxa"/>
          </w:tcPr>
          <w:p w14:paraId="01A3CE8F">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22AD68C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树立正确的择业观、就业观、创业观；养成积极乐观的心态，形成明确的职业生涯规划。</w:t>
            </w:r>
          </w:p>
          <w:p w14:paraId="53204D99">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672E3EB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通过毕业教育，学生能了解当前就业形势，进行实习总结，提出学校及专业发展建议及进行毕业相关事宜指导。</w:t>
            </w:r>
          </w:p>
          <w:p w14:paraId="75492C99">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742B0946">
            <w:pPr>
              <w:snapToGrid w:val="0"/>
              <w:rPr>
                <w:rFonts w:ascii="宋体" w:hAnsi="宋体" w:cs="宋体"/>
                <w:sz w:val="18"/>
                <w:szCs w:val="18"/>
              </w:rPr>
            </w:pPr>
            <w:r>
              <w:rPr>
                <w:rFonts w:hint="eastAsia" w:asciiTheme="minorEastAsia" w:hAnsiTheme="minorEastAsia" w:eastAsiaTheme="minorEastAsia" w:cstheme="minorEastAsia"/>
                <w:sz w:val="18"/>
                <w:szCs w:val="18"/>
              </w:rPr>
              <w:t>能正确面对挫折；能进行职业生涯规划；能迅速融入工作环境，能顺利办理毕业手续。</w:t>
            </w:r>
          </w:p>
        </w:tc>
        <w:tc>
          <w:tcPr>
            <w:tcW w:w="2370" w:type="dxa"/>
          </w:tcPr>
          <w:p w14:paraId="6815DBE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（1）实习总结座谈会及优秀实习生优秀毕业生表彰；</w:t>
            </w:r>
          </w:p>
          <w:p w14:paraId="332E397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（2）对学校发展及专业建设的相关交流座谈会。召开毕业生主题班会：</w:t>
            </w:r>
            <w:r>
              <w:rPr>
                <w:rFonts w:asciiTheme="minorEastAsia" w:hAnsiTheme="minorEastAsia" w:eastAsiaTheme="minorEastAsia" w:cstheme="minorEastAsia"/>
                <w:sz w:val="18"/>
                <w:szCs w:val="18"/>
              </w:rPr>
              <w:t>温暖学生的生命，助力他们的成长</w:t>
            </w:r>
            <w:r>
              <w:rPr>
                <w:rFonts w:hint="eastAsia" w:asciiTheme="minorEastAsia" w:hAnsiTheme="minorEastAsia" w:eastAsiaTheme="minorEastAsia" w:cstheme="minorEastAsia"/>
                <w:sz w:val="18"/>
                <w:szCs w:val="18"/>
              </w:rPr>
              <w:t>；感恩及诚信教育；文明离校；</w:t>
            </w:r>
          </w:p>
          <w:p w14:paraId="5B5C880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（3）就业指导会：保证学生顺利就业；</w:t>
            </w:r>
          </w:p>
          <w:p w14:paraId="151F8B95">
            <w:pPr>
              <w:snapToGrid w:val="0"/>
              <w:rPr>
                <w:rFonts w:ascii="宋体" w:hAnsi="宋体" w:cs="宋体"/>
                <w:sz w:val="18"/>
                <w:szCs w:val="18"/>
              </w:rPr>
            </w:pPr>
            <w:r>
              <w:rPr>
                <w:rFonts w:hint="eastAsia" w:asciiTheme="minorEastAsia" w:hAnsiTheme="minorEastAsia" w:eastAsiaTheme="minorEastAsia" w:cstheme="minorEastAsia"/>
                <w:sz w:val="18"/>
                <w:szCs w:val="18"/>
              </w:rPr>
              <w:t>（4）毕业档案指导：</w:t>
            </w:r>
            <w:r>
              <w:rPr>
                <w:rFonts w:asciiTheme="minorEastAsia" w:hAnsiTheme="minorEastAsia" w:eastAsiaTheme="minorEastAsia" w:cstheme="minorEastAsia"/>
                <w:sz w:val="18"/>
                <w:szCs w:val="18"/>
              </w:rPr>
              <w:t>学籍档案的保存提取及遗失后该如何补失，就业报到证</w:t>
            </w:r>
            <w:r>
              <w:rPr>
                <w:rFonts w:hint="eastAsia" w:asciiTheme="minorEastAsia" w:hAnsiTheme="minorEastAsia" w:eastAsiaTheme="minorEastAsia" w:cstheme="minorEastAsia"/>
                <w:sz w:val="18"/>
                <w:szCs w:val="18"/>
              </w:rPr>
              <w:t>办理。</w:t>
            </w:r>
          </w:p>
        </w:tc>
        <w:tc>
          <w:tcPr>
            <w:tcW w:w="2512" w:type="dxa"/>
          </w:tcPr>
          <w:p w14:paraId="3FD3AE9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（1）教学条件：主要在多媒体教室进行，多媒体投影清晰。</w:t>
            </w:r>
          </w:p>
          <w:p w14:paraId="6B92CFE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（2）教学方法：系主任召开系部毕业生交流座谈会，辅导员召开班级交流会，毕业设计指导老师进行一对一需求指导。</w:t>
            </w:r>
          </w:p>
          <w:p w14:paraId="6678DB7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（3）师资要求：具备丰富的教学与学生管理经验。</w:t>
            </w:r>
          </w:p>
          <w:p w14:paraId="561AC9E4">
            <w:pPr>
              <w:snapToGrid w:val="0"/>
              <w:ind w:firstLine="360" w:firstLineChars="200"/>
              <w:rPr>
                <w:rFonts w:ascii="宋体" w:hAnsi="宋体" w:cs="宋体"/>
                <w:sz w:val="18"/>
                <w:szCs w:val="18"/>
              </w:rPr>
            </w:pPr>
            <w:r>
              <w:rPr>
                <w:rFonts w:hint="eastAsia" w:asciiTheme="minorEastAsia" w:hAnsiTheme="minorEastAsia" w:eastAsiaTheme="minorEastAsia" w:cstheme="minorEastAsia"/>
                <w:sz w:val="18"/>
                <w:szCs w:val="18"/>
              </w:rPr>
              <w:t>（4）课程考核：采用过程考核。</w:t>
            </w:r>
          </w:p>
        </w:tc>
      </w:tr>
    </w:tbl>
    <w:p w14:paraId="0190944F">
      <w:pPr>
        <w:numPr>
          <w:ilvl w:val="0"/>
          <w:numId w:val="4"/>
        </w:numPr>
        <w:tabs>
          <w:tab w:val="left" w:pos="312"/>
        </w:tabs>
        <w:spacing w:line="440" w:lineRule="exact"/>
        <w:ind w:firstLine="420" w:firstLineChars="200"/>
        <w:rPr>
          <w:rFonts w:ascii="黑体" w:hAnsi="黑体" w:eastAsia="黑体"/>
          <w:color w:val="000000" w:themeColor="text1"/>
          <w:szCs w:val="21"/>
        </w:rPr>
      </w:pPr>
      <w:r>
        <w:rPr>
          <w:rFonts w:hint="eastAsia" w:ascii="黑体" w:hAnsi="黑体" w:eastAsia="黑体"/>
          <w:color w:val="000000" w:themeColor="text1"/>
          <w:szCs w:val="21"/>
        </w:rPr>
        <w:t>专业选修课</w:t>
      </w:r>
    </w:p>
    <w:tbl>
      <w:tblPr>
        <w:tblStyle w:val="14"/>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850"/>
        <w:gridCol w:w="2385"/>
        <w:gridCol w:w="2482"/>
      </w:tblGrid>
      <w:tr w14:paraId="740F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87" w:type="dxa"/>
            <w:vAlign w:val="center"/>
          </w:tcPr>
          <w:p w14:paraId="0065B4A4">
            <w:pPr>
              <w:adjustRightInd w:val="0"/>
              <w:snapToGrid w:val="0"/>
              <w:spacing w:line="276" w:lineRule="auto"/>
              <w:rPr>
                <w:rFonts w:ascii="宋体" w:hAnsi="宋体" w:cs="宋体"/>
                <w:sz w:val="18"/>
                <w:szCs w:val="18"/>
              </w:rPr>
            </w:pPr>
            <w:r>
              <w:rPr>
                <w:rFonts w:hint="eastAsia" w:ascii="宋体" w:hAnsi="宋体" w:cs="宋体"/>
                <w:sz w:val="18"/>
                <w:szCs w:val="18"/>
              </w:rPr>
              <w:t>课程名称</w:t>
            </w:r>
          </w:p>
        </w:tc>
        <w:tc>
          <w:tcPr>
            <w:tcW w:w="2850" w:type="dxa"/>
            <w:vAlign w:val="center"/>
          </w:tcPr>
          <w:p w14:paraId="059EF5D1">
            <w:pPr>
              <w:adjustRightInd w:val="0"/>
              <w:snapToGrid w:val="0"/>
              <w:spacing w:line="276" w:lineRule="auto"/>
              <w:ind w:firstLine="360" w:firstLineChars="200"/>
              <w:rPr>
                <w:rFonts w:ascii="宋体" w:hAnsi="宋体" w:cs="宋体"/>
                <w:sz w:val="18"/>
                <w:szCs w:val="18"/>
              </w:rPr>
            </w:pPr>
            <w:r>
              <w:rPr>
                <w:rFonts w:hint="eastAsia" w:ascii="宋体" w:hAnsi="宋体" w:cs="宋体"/>
                <w:sz w:val="18"/>
                <w:szCs w:val="18"/>
              </w:rPr>
              <w:t>课程目标</w:t>
            </w:r>
          </w:p>
        </w:tc>
        <w:tc>
          <w:tcPr>
            <w:tcW w:w="2385" w:type="dxa"/>
            <w:vAlign w:val="center"/>
          </w:tcPr>
          <w:p w14:paraId="45C32D2F">
            <w:pPr>
              <w:adjustRightInd w:val="0"/>
              <w:snapToGrid w:val="0"/>
              <w:spacing w:line="276" w:lineRule="auto"/>
              <w:rPr>
                <w:rFonts w:ascii="宋体" w:hAnsi="宋体" w:cs="宋体"/>
                <w:sz w:val="18"/>
                <w:szCs w:val="18"/>
              </w:rPr>
            </w:pPr>
            <w:r>
              <w:rPr>
                <w:rFonts w:hint="eastAsia" w:ascii="宋体" w:hAnsi="宋体" w:cs="宋体"/>
                <w:sz w:val="18"/>
                <w:szCs w:val="18"/>
              </w:rPr>
              <w:t>课程内容</w:t>
            </w:r>
          </w:p>
        </w:tc>
        <w:tc>
          <w:tcPr>
            <w:tcW w:w="2482" w:type="dxa"/>
            <w:vAlign w:val="center"/>
          </w:tcPr>
          <w:p w14:paraId="0A3C001C">
            <w:pPr>
              <w:adjustRightInd w:val="0"/>
              <w:snapToGrid w:val="0"/>
              <w:spacing w:line="276" w:lineRule="auto"/>
              <w:rPr>
                <w:rFonts w:ascii="宋体" w:hAnsi="宋体" w:cs="宋体"/>
                <w:sz w:val="18"/>
                <w:szCs w:val="18"/>
              </w:rPr>
            </w:pPr>
            <w:r>
              <w:rPr>
                <w:rFonts w:hint="eastAsia" w:ascii="宋体" w:hAnsi="宋体" w:cs="宋体"/>
                <w:sz w:val="18"/>
                <w:szCs w:val="18"/>
              </w:rPr>
              <w:t>组织形式与教学方法</w:t>
            </w:r>
          </w:p>
        </w:tc>
      </w:tr>
      <w:tr w14:paraId="209C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7" w:type="dxa"/>
            <w:vAlign w:val="center"/>
          </w:tcPr>
          <w:p w14:paraId="591AAE51">
            <w:pPr>
              <w:adjustRightInd w:val="0"/>
              <w:snapToGrid w:val="0"/>
              <w:spacing w:line="276" w:lineRule="auto"/>
              <w:rPr>
                <w:rFonts w:ascii="宋体" w:hAnsi="宋体" w:cs="宋体"/>
                <w:sz w:val="18"/>
                <w:szCs w:val="18"/>
              </w:rPr>
            </w:pPr>
            <w:r>
              <w:rPr>
                <w:rFonts w:hint="eastAsia" w:ascii="宋体" w:hAnsi="宋体"/>
                <w:sz w:val="18"/>
                <w:szCs w:val="18"/>
              </w:rPr>
              <w:t>商法</w:t>
            </w:r>
          </w:p>
        </w:tc>
        <w:tc>
          <w:tcPr>
            <w:tcW w:w="2850" w:type="dxa"/>
          </w:tcPr>
          <w:p w14:paraId="73F169A1">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0F0FB3E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培养学生法律意识，自觉遵守法律法规；提升学生运用商法解决实际问题的素养。</w:t>
            </w:r>
          </w:p>
          <w:p w14:paraId="596E946F">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7AB3E10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通过本课程的学习，学生能够掌握经济法的基础知识；掌握公司法、合伙企业法、劳动法等重要经济法律、法规的相关内容。</w:t>
            </w:r>
          </w:p>
          <w:p w14:paraId="00E066AB">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08A6615B">
            <w:pPr>
              <w:snapToGrid w:val="0"/>
              <w:rPr>
                <w:rFonts w:ascii="宋体" w:hAnsi="宋体" w:cs="宋体"/>
                <w:sz w:val="18"/>
                <w:szCs w:val="18"/>
              </w:rPr>
            </w:pPr>
            <w:r>
              <w:rPr>
                <w:rFonts w:hint="eastAsia" w:asciiTheme="minorEastAsia" w:hAnsiTheme="minorEastAsia" w:eastAsiaTheme="minorEastAsia" w:cstheme="minorEastAsia"/>
                <w:sz w:val="18"/>
                <w:szCs w:val="18"/>
              </w:rPr>
              <w:t>能初步运用自己所学的法律知识观察、分析、处理社会实际问题。</w:t>
            </w:r>
          </w:p>
        </w:tc>
        <w:tc>
          <w:tcPr>
            <w:tcW w:w="2385" w:type="dxa"/>
          </w:tcPr>
          <w:p w14:paraId="5721B23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（1）经济法的概念；</w:t>
            </w:r>
          </w:p>
          <w:p w14:paraId="7D3ECCE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（2）个人独资企业法、合伙企业法；</w:t>
            </w:r>
          </w:p>
          <w:p w14:paraId="5B19C86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（3）公司法；</w:t>
            </w:r>
          </w:p>
          <w:p w14:paraId="6288366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（4）破产法；</w:t>
            </w:r>
          </w:p>
          <w:p w14:paraId="522B22B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（5）合同法；</w:t>
            </w:r>
          </w:p>
          <w:p w14:paraId="584059C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（6）反不正当竞争法；</w:t>
            </w:r>
          </w:p>
          <w:p w14:paraId="7F15FA4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（7）产品质量法；</w:t>
            </w:r>
          </w:p>
          <w:p w14:paraId="39066FD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（8）知识产权法；</w:t>
            </w:r>
          </w:p>
          <w:p w14:paraId="4E34104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（9）税法；</w:t>
            </w:r>
          </w:p>
          <w:p w14:paraId="7602DAA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（10）物权法；</w:t>
            </w:r>
          </w:p>
          <w:p w14:paraId="11D5637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（11）劳动法；</w:t>
            </w:r>
          </w:p>
          <w:p w14:paraId="5BF8B460">
            <w:pPr>
              <w:snapToGrid w:val="0"/>
              <w:rPr>
                <w:rFonts w:ascii="宋体" w:hAnsi="宋体" w:cs="宋体"/>
                <w:sz w:val="18"/>
                <w:szCs w:val="18"/>
              </w:rPr>
            </w:pPr>
            <w:r>
              <w:rPr>
                <w:rFonts w:hint="eastAsia" w:asciiTheme="minorEastAsia" w:hAnsiTheme="minorEastAsia" w:eastAsiaTheme="minorEastAsia" w:cstheme="minorEastAsia"/>
                <w:sz w:val="18"/>
                <w:szCs w:val="18"/>
              </w:rPr>
              <w:t>（12）消费者权益保护法；</w:t>
            </w:r>
          </w:p>
        </w:tc>
        <w:tc>
          <w:tcPr>
            <w:tcW w:w="2482" w:type="dxa"/>
          </w:tcPr>
          <w:p w14:paraId="60911F0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263B0B5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（2）教学方法：坚持以学生为中心，结合案例教学、讨论分析等多种教学方法，同时融入课程思政，将立德树人贯穿始终。</w:t>
            </w:r>
          </w:p>
          <w:p w14:paraId="7F3253A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（3）师资要求：担任本课程的教师应该具备扎实的专业基础知识，具备较为丰富的法律实践经验。</w:t>
            </w:r>
          </w:p>
          <w:p w14:paraId="19659E39">
            <w:pPr>
              <w:snapToGrid w:val="0"/>
              <w:rPr>
                <w:rFonts w:ascii="宋体" w:hAnsi="宋体" w:cs="宋体"/>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28C5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7" w:type="dxa"/>
            <w:vAlign w:val="center"/>
          </w:tcPr>
          <w:p w14:paraId="7010F217">
            <w:pPr>
              <w:snapToGrid w:val="0"/>
              <w:jc w:val="center"/>
              <w:rPr>
                <w:rFonts w:hint="eastAsia" w:ascii="宋体" w:hAnsi="宋体" w:eastAsia="宋体" w:cs="宋体"/>
                <w:sz w:val="18"/>
                <w:szCs w:val="18"/>
                <w:highlight w:val="none"/>
                <w:lang w:eastAsia="zh-CN"/>
              </w:rPr>
            </w:pPr>
            <w:r>
              <w:rPr>
                <w:rFonts w:hint="eastAsia" w:ascii="宋体" w:hAnsi="宋体" w:cs="宋体"/>
                <w:sz w:val="18"/>
                <w:szCs w:val="18"/>
                <w:highlight w:val="none"/>
                <w:lang w:eastAsia="zh-CN"/>
              </w:rPr>
              <w:t>商务英语</w:t>
            </w:r>
          </w:p>
        </w:tc>
        <w:tc>
          <w:tcPr>
            <w:tcW w:w="2850" w:type="dxa"/>
            <w:vAlign w:val="center"/>
          </w:tcPr>
          <w:p w14:paraId="7E080F28">
            <w:pPr>
              <w:snapToGrid w:val="0"/>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素质目标：</w:t>
            </w:r>
          </w:p>
          <w:p w14:paraId="4E638362">
            <w:pPr>
              <w:snapToGrid w:val="0"/>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培养学生良好的人文素质和勤奋敬业、谨慎细致、务实高效、团结协作的职业态度；培养学生良好的科学文化素质、专业业务素质和严谨求实的工匠精神。</w:t>
            </w:r>
          </w:p>
          <w:p w14:paraId="21A72095">
            <w:pPr>
              <w:snapToGrid w:val="0"/>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知识目标：</w:t>
            </w:r>
          </w:p>
          <w:p w14:paraId="754FE863">
            <w:pPr>
              <w:snapToGrid w:val="0"/>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累计领会掌握2500个左右的词汇和200个左右的习惯用语和固定搭配；学习和掌握300个左右的常用专业词汇和术语；掌握基本的英语语法规则，在听、说、读、写、译中能正确运用所学语法知识；掌握常用英语口语表达用语。</w:t>
            </w:r>
            <w:r>
              <w:rPr>
                <w:rFonts w:hint="eastAsia" w:asciiTheme="minorEastAsia" w:hAnsiTheme="minorEastAsia" w:eastAsiaTheme="minorEastAsia" w:cstheme="minorEastAsia"/>
                <w:sz w:val="18"/>
                <w:szCs w:val="18"/>
                <w:highlight w:val="none"/>
                <w:lang w:val="en-US" w:eastAsia="zh-CN"/>
              </w:rPr>
              <w:br w:type="textWrapping"/>
            </w:r>
            <w:r>
              <w:rPr>
                <w:rFonts w:hint="eastAsia" w:asciiTheme="minorEastAsia" w:hAnsiTheme="minorEastAsia" w:eastAsiaTheme="minorEastAsia" w:cstheme="minorEastAsia"/>
                <w:b/>
                <w:bCs/>
                <w:sz w:val="18"/>
                <w:szCs w:val="18"/>
                <w:highlight w:val="none"/>
                <w:lang w:val="en-US" w:eastAsia="zh-CN"/>
              </w:rPr>
              <w:t>能力目标：</w:t>
            </w:r>
          </w:p>
          <w:p w14:paraId="630F95C1">
            <w:pPr>
              <w:snapToGrid w:val="0"/>
              <w:rPr>
                <w:rFonts w:ascii="宋体" w:hAnsi="宋体" w:cs="宋体"/>
                <w:color w:val="FF0000"/>
                <w:sz w:val="18"/>
                <w:szCs w:val="18"/>
                <w:highlight w:val="none"/>
              </w:rPr>
            </w:pPr>
            <w:r>
              <w:rPr>
                <w:rFonts w:hint="eastAsia" w:asciiTheme="minorEastAsia" w:hAnsiTheme="minorEastAsia" w:eastAsiaTheme="minorEastAsia" w:cstheme="minorEastAsia"/>
                <w:sz w:val="18"/>
                <w:szCs w:val="18"/>
                <w:highlight w:val="none"/>
                <w:lang w:val="en-US" w:eastAsia="zh-CN"/>
              </w:rPr>
              <w:t>能听懂日常和职场相关主题的对话；能有效地使用交际功能的表达形式展开业务交际活动，具备一定的商务业务资料阅读能力；能借助工具书和网络资源独立用英语解决实际工作环境下的业务问题；能用英语填写各种日常生活中的表格等；能根据要求用英书写出格式规范、行文准确的常用应用文。</w:t>
            </w:r>
          </w:p>
        </w:tc>
        <w:tc>
          <w:tcPr>
            <w:tcW w:w="2385" w:type="dxa"/>
            <w:vAlign w:val="top"/>
          </w:tcPr>
          <w:p w14:paraId="5E4A1753">
            <w:pPr>
              <w:numPr>
                <w:ilvl w:val="0"/>
                <w:numId w:val="0"/>
              </w:num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(1)Getting to know a company；</w:t>
            </w:r>
          </w:p>
          <w:p w14:paraId="5CF02053">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（2）In the office；</w:t>
            </w:r>
          </w:p>
          <w:p w14:paraId="18F76FE9">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(3)Marketing and advertising；</w:t>
            </w:r>
          </w:p>
          <w:p w14:paraId="0D39307A">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(4)Placing an order on the telephone；</w:t>
            </w:r>
          </w:p>
          <w:p w14:paraId="131479A5">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(5)A trade fair and an order；</w:t>
            </w:r>
          </w:p>
          <w:p w14:paraId="18FF56AF">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(6)Customer care；</w:t>
            </w:r>
          </w:p>
          <w:p w14:paraId="1A73237D">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(7)Business travel；</w:t>
            </w:r>
          </w:p>
          <w:p w14:paraId="43389405">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(8)Presentations；(9)Logistics；(10)Applying for a job；</w:t>
            </w:r>
          </w:p>
          <w:p w14:paraId="5E536BAE">
            <w:pPr>
              <w:snapToGrid w:val="0"/>
              <w:jc w:val="both"/>
              <w:rPr>
                <w:rFonts w:ascii="宋体" w:hAnsi="宋体" w:cs="宋体"/>
                <w:color w:val="FF0000"/>
                <w:sz w:val="18"/>
                <w:szCs w:val="18"/>
                <w:highlight w:val="yellow"/>
              </w:rPr>
            </w:pPr>
          </w:p>
        </w:tc>
        <w:tc>
          <w:tcPr>
            <w:tcW w:w="2482" w:type="dxa"/>
            <w:vAlign w:val="top"/>
          </w:tcPr>
          <w:p w14:paraId="52B41563">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（1）条件要求：授课使用多媒体教学，教师尽量用英语组织教学，形成良好的听、说、读、写、译环境。</w:t>
            </w:r>
          </w:p>
          <w:p w14:paraId="192B0C27">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（2）教学方法：按照“以服务为宗旨，以就业为导向”的职业教育目标，采取“Learning By Doing</w:t>
            </w:r>
            <w:r>
              <w:rPr>
                <w:rFonts w:hint="default" w:asciiTheme="minorEastAsia" w:hAnsiTheme="minorEastAsia" w:eastAsiaTheme="minorEastAsia" w:cstheme="minorEastAsia"/>
                <w:sz w:val="18"/>
                <w:szCs w:val="18"/>
                <w:highlight w:val="none"/>
                <w:lang w:val="en-US" w:eastAsia="zh-CN"/>
              </w:rPr>
              <w:t>”</w:t>
            </w:r>
            <w:r>
              <w:rPr>
                <w:rFonts w:hint="eastAsia" w:asciiTheme="minorEastAsia" w:hAnsiTheme="minorEastAsia" w:eastAsiaTheme="minorEastAsia" w:cstheme="minorEastAsia"/>
                <w:sz w:val="18"/>
                <w:szCs w:val="18"/>
                <w:highlight w:val="none"/>
                <w:lang w:val="en-US" w:eastAsia="zh-CN"/>
              </w:rPr>
              <w:t>教学模式，课程以学生为中心，以立德树人为根本，将课程思政融入教学中，实施全过程育人。培养学生的职业素养和工匠精神。运用视频、音频、动画、微课、学习 APP 等多种信息化教学资源和手段，采取情境教学法、项目教学法及小组讨论法等多种方法。</w:t>
            </w:r>
          </w:p>
          <w:p w14:paraId="0B247786">
            <w:pPr>
              <w:snapToGrid w:val="0"/>
              <w:jc w:val="both"/>
              <w:rPr>
                <w:rFonts w:ascii="宋体" w:hAnsi="宋体" w:cs="宋体"/>
                <w:color w:val="000000" w:themeColor="text1"/>
                <w:sz w:val="18"/>
                <w:szCs w:val="18"/>
                <w:highlight w:val="yellow"/>
              </w:rPr>
            </w:pPr>
            <w:r>
              <w:rPr>
                <w:rFonts w:hint="eastAsia" w:asciiTheme="minorEastAsia" w:hAnsiTheme="minorEastAsia" w:eastAsiaTheme="minorEastAsia" w:cstheme="minorEastAsia"/>
                <w:sz w:val="18"/>
                <w:szCs w:val="18"/>
                <w:highlight w:val="none"/>
                <w:lang w:val="en-US" w:eastAsia="zh-CN"/>
              </w:rPr>
              <w:t>（3）师资要求：担任本课程的教师应具有研究生以上学历或讲师以上职称。</w:t>
            </w:r>
            <w:r>
              <w:rPr>
                <w:rFonts w:hint="eastAsia" w:asciiTheme="minorEastAsia" w:hAnsiTheme="minorEastAsia" w:eastAsiaTheme="minorEastAsia" w:cstheme="minorEastAsia"/>
                <w:sz w:val="18"/>
                <w:szCs w:val="18"/>
                <w:highlight w:val="none"/>
                <w:lang w:val="en-US" w:eastAsia="zh-CN"/>
              </w:rPr>
              <w:br w:type="textWrapping"/>
            </w:r>
            <w:r>
              <w:rPr>
                <w:rFonts w:hint="eastAsia" w:asciiTheme="minorEastAsia" w:hAnsiTheme="minorEastAsia" w:eastAsiaTheme="minorEastAsia" w:cstheme="minorEastAsia"/>
                <w:sz w:val="18"/>
                <w:szCs w:val="18"/>
                <w:highlight w:val="none"/>
                <w:lang w:val="en-US" w:eastAsia="zh-CN"/>
              </w:rPr>
              <w:t>（4）考核要求：通过过程性考核和终结性考核相结合的方式，检测学习效果。平时过程性考核成绩根据考勤、课堂表现情况、线上教学情况等评定，占总成绩的50%；期末考试占总成绩的50%。</w:t>
            </w:r>
          </w:p>
        </w:tc>
      </w:tr>
      <w:tr w14:paraId="4E1CA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7" w:type="dxa"/>
            <w:vAlign w:val="center"/>
          </w:tcPr>
          <w:p w14:paraId="07D9D335">
            <w:pPr>
              <w:adjustRightInd w:val="0"/>
              <w:snapToGrid w:val="0"/>
              <w:spacing w:line="276" w:lineRule="auto"/>
              <w:rPr>
                <w:rFonts w:ascii="宋体" w:hAnsi="宋体"/>
                <w:sz w:val="18"/>
                <w:szCs w:val="18"/>
              </w:rPr>
            </w:pPr>
            <w:r>
              <w:rPr>
                <w:rFonts w:hint="eastAsia" w:asciiTheme="minorEastAsia" w:hAnsiTheme="minorEastAsia" w:eastAsiaTheme="minorEastAsia"/>
                <w:sz w:val="18"/>
                <w:szCs w:val="18"/>
              </w:rPr>
              <w:t>汽车4S店经营管</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理</w:t>
            </w:r>
          </w:p>
        </w:tc>
        <w:tc>
          <w:tcPr>
            <w:tcW w:w="2850" w:type="dxa"/>
          </w:tcPr>
          <w:p w14:paraId="3970CAF0">
            <w:pPr>
              <w:snapToGrid w:val="0"/>
              <w:rPr>
                <w:rFonts w:ascii="宋体" w:hAnsi="宋体"/>
                <w:b/>
                <w:bCs/>
                <w:color w:val="000000"/>
                <w:sz w:val="18"/>
                <w:szCs w:val="18"/>
              </w:rPr>
            </w:pPr>
            <w:r>
              <w:rPr>
                <w:rFonts w:hint="eastAsia" w:ascii="宋体" w:hAnsi="宋体"/>
                <w:b/>
                <w:bCs/>
                <w:color w:val="000000"/>
                <w:sz w:val="18"/>
                <w:szCs w:val="18"/>
              </w:rPr>
              <w:t>素质目标：</w:t>
            </w:r>
          </w:p>
          <w:p w14:paraId="46523E96">
            <w:pPr>
              <w:snapToGrid w:val="0"/>
              <w:rPr>
                <w:rFonts w:ascii="宋体" w:hAnsi="宋体"/>
                <w:color w:val="000000"/>
                <w:sz w:val="18"/>
                <w:szCs w:val="18"/>
              </w:rPr>
            </w:pPr>
            <w:r>
              <w:rPr>
                <w:rFonts w:hint="eastAsia" w:ascii="宋体" w:hAnsi="宋体"/>
                <w:color w:val="000000"/>
                <w:sz w:val="18"/>
                <w:szCs w:val="18"/>
              </w:rPr>
              <w:t>培养学生具备基础管理知识，具备组织、协调、全面管理的能力。</w:t>
            </w:r>
          </w:p>
          <w:p w14:paraId="0FDC24CC">
            <w:pPr>
              <w:snapToGrid w:val="0"/>
              <w:rPr>
                <w:rFonts w:ascii="宋体" w:hAnsi="宋体"/>
                <w:b/>
                <w:bCs/>
                <w:color w:val="000000"/>
                <w:sz w:val="18"/>
                <w:szCs w:val="18"/>
              </w:rPr>
            </w:pPr>
            <w:r>
              <w:rPr>
                <w:rFonts w:hint="eastAsia" w:ascii="宋体" w:hAnsi="宋体"/>
                <w:b/>
                <w:bCs/>
                <w:color w:val="000000"/>
                <w:sz w:val="18"/>
                <w:szCs w:val="18"/>
              </w:rPr>
              <w:t>知识目标：</w:t>
            </w:r>
          </w:p>
          <w:p w14:paraId="4D09BBF3">
            <w:pPr>
              <w:snapToGrid w:val="0"/>
              <w:rPr>
                <w:rFonts w:ascii="宋体" w:hAnsi="宋体"/>
                <w:color w:val="000000"/>
                <w:sz w:val="18"/>
                <w:szCs w:val="18"/>
              </w:rPr>
            </w:pPr>
            <w:r>
              <w:rPr>
                <w:rFonts w:hint="eastAsia" w:ascii="宋体" w:hAnsi="宋体"/>
                <w:color w:val="000000"/>
                <w:sz w:val="18"/>
                <w:szCs w:val="18"/>
              </w:rPr>
              <w:t>通过本课程的学习，学生能了解汽车4S店的基本形态和运作模式，掌握汽车4S店人力资源管理，销售管理、汽车维修业务及接待、汽售后服务管理、配件管理、财务管理和信息反馈等专业知识。</w:t>
            </w:r>
          </w:p>
          <w:p w14:paraId="223B1F25">
            <w:pPr>
              <w:snapToGrid w:val="0"/>
              <w:rPr>
                <w:rFonts w:ascii="宋体" w:hAnsi="宋体"/>
                <w:b/>
                <w:bCs/>
                <w:color w:val="000000"/>
                <w:sz w:val="18"/>
                <w:szCs w:val="18"/>
              </w:rPr>
            </w:pPr>
            <w:r>
              <w:rPr>
                <w:rFonts w:hint="eastAsia" w:ascii="宋体" w:hAnsi="宋体"/>
                <w:b/>
                <w:bCs/>
                <w:color w:val="000000"/>
                <w:sz w:val="18"/>
                <w:szCs w:val="18"/>
              </w:rPr>
              <w:t>能力目标：</w:t>
            </w:r>
          </w:p>
          <w:p w14:paraId="3A435F45">
            <w:pPr>
              <w:snapToGrid w:val="0"/>
              <w:rPr>
                <w:rFonts w:ascii="宋体" w:hAnsi="宋体"/>
                <w:sz w:val="18"/>
                <w:szCs w:val="18"/>
              </w:rPr>
            </w:pPr>
            <w:r>
              <w:rPr>
                <w:rFonts w:hint="eastAsia" w:ascii="宋体" w:hAnsi="宋体"/>
                <w:color w:val="000000"/>
                <w:sz w:val="18"/>
                <w:szCs w:val="18"/>
              </w:rPr>
              <w:t>能进行汽车整车销售、售后维修接待、汽车配件管理、财务管理及客户关系管理，初步具备汽车经销企业管理能力。</w:t>
            </w:r>
          </w:p>
        </w:tc>
        <w:tc>
          <w:tcPr>
            <w:tcW w:w="2385" w:type="dxa"/>
          </w:tcPr>
          <w:p w14:paraId="75D5F35A">
            <w:pPr>
              <w:snapToGrid w:val="0"/>
              <w:rPr>
                <w:rFonts w:ascii="宋体" w:hAnsi="宋体"/>
                <w:color w:val="000000"/>
                <w:sz w:val="18"/>
                <w:szCs w:val="18"/>
              </w:rPr>
            </w:pPr>
            <w:r>
              <w:rPr>
                <w:rFonts w:hint="eastAsia" w:ascii="宋体" w:hAnsi="宋体"/>
                <w:color w:val="000000"/>
                <w:sz w:val="18"/>
                <w:szCs w:val="18"/>
              </w:rPr>
              <w:t>（1）汽车4S管理概述（内涵、特征、优劣势等）；</w:t>
            </w:r>
          </w:p>
          <w:p w14:paraId="6AB77172">
            <w:pPr>
              <w:snapToGrid w:val="0"/>
              <w:rPr>
                <w:rFonts w:ascii="宋体" w:hAnsi="宋体"/>
                <w:color w:val="000000"/>
                <w:sz w:val="18"/>
                <w:szCs w:val="18"/>
              </w:rPr>
            </w:pPr>
            <w:r>
              <w:rPr>
                <w:rFonts w:hint="eastAsia" w:ascii="宋体" w:hAnsi="宋体"/>
                <w:color w:val="000000"/>
                <w:sz w:val="18"/>
                <w:szCs w:val="18"/>
              </w:rPr>
              <w:t>（2）汽车整车销售；</w:t>
            </w:r>
          </w:p>
          <w:p w14:paraId="7A0C0AEE">
            <w:pPr>
              <w:snapToGrid w:val="0"/>
              <w:rPr>
                <w:rFonts w:ascii="宋体" w:hAnsi="宋体"/>
                <w:color w:val="000000"/>
                <w:sz w:val="18"/>
                <w:szCs w:val="18"/>
              </w:rPr>
            </w:pPr>
            <w:r>
              <w:rPr>
                <w:rFonts w:hint="eastAsia" w:ascii="宋体" w:hAnsi="宋体"/>
                <w:color w:val="000000"/>
                <w:sz w:val="18"/>
                <w:szCs w:val="18"/>
              </w:rPr>
              <w:t>（3）汽车4S店销售业务管理；</w:t>
            </w:r>
          </w:p>
          <w:p w14:paraId="675BC195">
            <w:pPr>
              <w:snapToGrid w:val="0"/>
              <w:rPr>
                <w:rFonts w:ascii="宋体" w:hAnsi="宋体"/>
                <w:color w:val="000000"/>
                <w:sz w:val="18"/>
                <w:szCs w:val="18"/>
              </w:rPr>
            </w:pPr>
            <w:r>
              <w:rPr>
                <w:rFonts w:hint="eastAsia" w:ascii="宋体" w:hAnsi="宋体"/>
                <w:color w:val="000000"/>
                <w:sz w:val="18"/>
                <w:szCs w:val="18"/>
              </w:rPr>
              <w:t>（4）汽车维修接待与业务接待；</w:t>
            </w:r>
          </w:p>
          <w:p w14:paraId="1FF98B50">
            <w:pPr>
              <w:snapToGrid w:val="0"/>
              <w:rPr>
                <w:rFonts w:ascii="宋体" w:hAnsi="宋体"/>
                <w:color w:val="000000"/>
                <w:sz w:val="18"/>
                <w:szCs w:val="18"/>
              </w:rPr>
            </w:pPr>
            <w:r>
              <w:rPr>
                <w:rFonts w:hint="eastAsia" w:ascii="宋体" w:hAnsi="宋体"/>
                <w:color w:val="000000"/>
                <w:sz w:val="18"/>
                <w:szCs w:val="18"/>
              </w:rPr>
              <w:t>（5）汽车4S店配件管理；</w:t>
            </w:r>
          </w:p>
          <w:p w14:paraId="0664E4D2">
            <w:pPr>
              <w:snapToGrid w:val="0"/>
              <w:rPr>
                <w:rFonts w:ascii="宋体" w:hAnsi="宋体"/>
                <w:color w:val="000000"/>
                <w:sz w:val="18"/>
                <w:szCs w:val="18"/>
              </w:rPr>
            </w:pPr>
            <w:r>
              <w:rPr>
                <w:rFonts w:hint="eastAsia" w:ascii="宋体" w:hAnsi="宋体"/>
                <w:color w:val="000000"/>
                <w:sz w:val="18"/>
                <w:szCs w:val="18"/>
              </w:rPr>
              <w:t>（6）汽车4S店客户关系管理；</w:t>
            </w:r>
          </w:p>
          <w:p w14:paraId="57C21B3B">
            <w:pPr>
              <w:snapToGrid w:val="0"/>
              <w:rPr>
                <w:rFonts w:ascii="宋体" w:hAnsi="宋体"/>
                <w:color w:val="000000"/>
                <w:sz w:val="18"/>
                <w:szCs w:val="18"/>
              </w:rPr>
            </w:pPr>
            <w:r>
              <w:rPr>
                <w:rFonts w:hint="eastAsia" w:ascii="宋体" w:hAnsi="宋体"/>
                <w:color w:val="000000"/>
                <w:sz w:val="18"/>
                <w:szCs w:val="18"/>
              </w:rPr>
              <w:t>（7）汽车4S店财务管理；</w:t>
            </w:r>
          </w:p>
          <w:p w14:paraId="3572E49C">
            <w:pPr>
              <w:snapToGrid w:val="0"/>
              <w:rPr>
                <w:rFonts w:ascii="宋体" w:hAnsi="宋体"/>
                <w:sz w:val="18"/>
                <w:szCs w:val="18"/>
              </w:rPr>
            </w:pPr>
            <w:r>
              <w:rPr>
                <w:rFonts w:hint="eastAsia" w:ascii="宋体" w:hAnsi="宋体"/>
                <w:color w:val="000000"/>
                <w:sz w:val="18"/>
                <w:szCs w:val="18"/>
              </w:rPr>
              <w:t>（8）汽车4S店信息管理 。</w:t>
            </w:r>
          </w:p>
        </w:tc>
        <w:tc>
          <w:tcPr>
            <w:tcW w:w="2482" w:type="dxa"/>
          </w:tcPr>
          <w:p w14:paraId="1192094B">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（1）教学条件：授课主要在多媒体教室进行，多媒体投影清晰，配有汽车实训中心，满足学生售前售后实训要求。</w:t>
            </w:r>
          </w:p>
          <w:p w14:paraId="06D34A60">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（2）教学方法：坚持以学生为中心，结合案例教学、启发式教学、任务驱动教学等多种教学方法，同时融入课程思政，将立德树人贯穿始终。</w:t>
            </w:r>
          </w:p>
          <w:p w14:paraId="42D0C77D">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（3）师资要求：担任本课程的教师应该具备扎实的专业基础知识和丰富的销售、管理实践经验。</w:t>
            </w:r>
          </w:p>
          <w:p w14:paraId="30F5D2C3">
            <w:pPr>
              <w:snapToGrid w:val="0"/>
              <w:rPr>
                <w:rFonts w:ascii="宋体" w:hAnsi="宋体"/>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6E0E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7" w:type="dxa"/>
            <w:vAlign w:val="center"/>
          </w:tcPr>
          <w:p w14:paraId="7A9E2BC7">
            <w:pPr>
              <w:adjustRightInd w:val="0"/>
              <w:snapToGrid w:val="0"/>
              <w:spacing w:line="276" w:lineRule="auto"/>
              <w:rPr>
                <w:rFonts w:asciiTheme="minorEastAsia" w:hAnsiTheme="minorEastAsia" w:eastAsiaTheme="minorEastAsia"/>
                <w:sz w:val="18"/>
                <w:szCs w:val="18"/>
              </w:rPr>
            </w:pPr>
            <w:r>
              <w:rPr>
                <w:rFonts w:hint="eastAsia" w:asciiTheme="minorEastAsia" w:hAnsiTheme="minorEastAsia" w:eastAsiaTheme="minorEastAsia"/>
                <w:sz w:val="18"/>
                <w:szCs w:val="18"/>
              </w:rPr>
              <w:t>中国金融文</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化</w:t>
            </w:r>
          </w:p>
        </w:tc>
        <w:tc>
          <w:tcPr>
            <w:tcW w:w="2850" w:type="dxa"/>
          </w:tcPr>
          <w:p w14:paraId="62C16CCF">
            <w:pPr>
              <w:snapToGrid w:val="0"/>
              <w:jc w:val="left"/>
              <w:rPr>
                <w:rFonts w:ascii="宋体" w:hAnsi="宋体"/>
                <w:b/>
                <w:bCs/>
                <w:color w:val="000000"/>
                <w:sz w:val="18"/>
                <w:szCs w:val="18"/>
              </w:rPr>
            </w:pPr>
            <w:r>
              <w:rPr>
                <w:rFonts w:hint="eastAsia" w:ascii="宋体" w:hAnsi="宋体"/>
                <w:b/>
                <w:bCs/>
                <w:color w:val="000000"/>
                <w:sz w:val="18"/>
                <w:szCs w:val="18"/>
              </w:rPr>
              <w:t>素质目标：</w:t>
            </w:r>
          </w:p>
          <w:p w14:paraId="2F7AAF70">
            <w:pPr>
              <w:snapToGrid w:val="0"/>
              <w:jc w:val="left"/>
              <w:rPr>
                <w:rFonts w:ascii="宋体" w:hAnsi="宋体"/>
                <w:color w:val="000000"/>
                <w:sz w:val="18"/>
                <w:szCs w:val="18"/>
              </w:rPr>
            </w:pPr>
            <w:r>
              <w:rPr>
                <w:rFonts w:hint="eastAsia" w:ascii="宋体" w:hAnsi="宋体"/>
                <w:color w:val="000000"/>
                <w:sz w:val="18"/>
                <w:szCs w:val="18"/>
              </w:rPr>
              <w:t>开拓学生金融视野，培养学生从事金融企业经营管理所需的文化素养。</w:t>
            </w:r>
          </w:p>
          <w:p w14:paraId="54D349C4">
            <w:pPr>
              <w:snapToGrid w:val="0"/>
              <w:jc w:val="left"/>
              <w:rPr>
                <w:rFonts w:ascii="宋体" w:hAnsi="宋体"/>
                <w:b/>
                <w:bCs/>
                <w:color w:val="000000"/>
                <w:sz w:val="18"/>
                <w:szCs w:val="18"/>
              </w:rPr>
            </w:pPr>
            <w:r>
              <w:rPr>
                <w:rFonts w:hint="eastAsia" w:ascii="宋体" w:hAnsi="宋体"/>
                <w:b/>
                <w:bCs/>
                <w:color w:val="000000"/>
                <w:sz w:val="18"/>
                <w:szCs w:val="18"/>
              </w:rPr>
              <w:t>知识目标：</w:t>
            </w:r>
          </w:p>
          <w:p w14:paraId="219936CB">
            <w:pPr>
              <w:snapToGrid w:val="0"/>
              <w:jc w:val="left"/>
              <w:rPr>
                <w:rFonts w:ascii="宋体" w:hAnsi="宋体"/>
                <w:color w:val="000000"/>
                <w:sz w:val="18"/>
                <w:szCs w:val="18"/>
              </w:rPr>
            </w:pPr>
            <w:r>
              <w:rPr>
                <w:rFonts w:hint="eastAsia" w:ascii="宋体" w:hAnsi="宋体"/>
                <w:color w:val="000000"/>
                <w:sz w:val="18"/>
                <w:szCs w:val="18"/>
              </w:rPr>
              <w:t>通过本课程的学习，学生能了解不同时期不同经济环境下的货币和信用制度，通过对中国金融发展的经验与教训，更深刻理解我国当前金融发展模式和政策。</w:t>
            </w:r>
          </w:p>
          <w:p w14:paraId="4B2D1BCB">
            <w:pPr>
              <w:snapToGrid w:val="0"/>
              <w:jc w:val="left"/>
              <w:rPr>
                <w:rFonts w:ascii="宋体" w:hAnsi="宋体"/>
                <w:b/>
                <w:bCs/>
                <w:color w:val="000000"/>
                <w:sz w:val="18"/>
                <w:szCs w:val="18"/>
              </w:rPr>
            </w:pPr>
            <w:r>
              <w:rPr>
                <w:rFonts w:hint="eastAsia" w:ascii="宋体" w:hAnsi="宋体"/>
                <w:b/>
                <w:bCs/>
                <w:color w:val="000000"/>
                <w:sz w:val="18"/>
                <w:szCs w:val="18"/>
              </w:rPr>
              <w:t>能力目标：</w:t>
            </w:r>
          </w:p>
          <w:p w14:paraId="6CE6464E">
            <w:pPr>
              <w:snapToGrid w:val="0"/>
              <w:jc w:val="left"/>
              <w:rPr>
                <w:rFonts w:ascii="宋体" w:hAnsi="宋体"/>
                <w:color w:val="000000"/>
                <w:sz w:val="18"/>
                <w:szCs w:val="18"/>
              </w:rPr>
            </w:pPr>
            <w:r>
              <w:rPr>
                <w:rFonts w:hint="eastAsia" w:ascii="宋体" w:hAnsi="宋体"/>
                <w:color w:val="000000"/>
                <w:sz w:val="18"/>
                <w:szCs w:val="18"/>
              </w:rPr>
              <w:t>能够运用所学知识对中国当前金融现象进行解释、分析，初步具备对实际金融事件的分析和讨论能力。</w:t>
            </w:r>
          </w:p>
        </w:tc>
        <w:tc>
          <w:tcPr>
            <w:tcW w:w="2385" w:type="dxa"/>
          </w:tcPr>
          <w:p w14:paraId="2C5C30B6">
            <w:pPr>
              <w:snapToGrid w:val="0"/>
              <w:jc w:val="left"/>
              <w:rPr>
                <w:rFonts w:ascii="宋体" w:hAnsi="宋体"/>
                <w:color w:val="000000"/>
                <w:sz w:val="18"/>
                <w:szCs w:val="18"/>
              </w:rPr>
            </w:pPr>
            <w:r>
              <w:rPr>
                <w:rFonts w:hint="eastAsia" w:ascii="宋体" w:hAnsi="宋体"/>
                <w:color w:val="000000"/>
                <w:sz w:val="18"/>
                <w:szCs w:val="18"/>
              </w:rPr>
              <w:t>（1）中国货币文化的起源；</w:t>
            </w:r>
          </w:p>
          <w:p w14:paraId="53F044F4">
            <w:pPr>
              <w:snapToGrid w:val="0"/>
              <w:jc w:val="left"/>
              <w:rPr>
                <w:rFonts w:ascii="宋体" w:hAnsi="宋体"/>
                <w:color w:val="000000"/>
                <w:sz w:val="18"/>
                <w:szCs w:val="18"/>
              </w:rPr>
            </w:pPr>
            <w:r>
              <w:rPr>
                <w:rFonts w:hint="eastAsia" w:ascii="宋体" w:hAnsi="宋体"/>
                <w:color w:val="000000"/>
                <w:sz w:val="18"/>
                <w:szCs w:val="18"/>
              </w:rPr>
              <w:t>（2）中国铜钱文化；</w:t>
            </w:r>
          </w:p>
          <w:p w14:paraId="49A805A7">
            <w:pPr>
              <w:snapToGrid w:val="0"/>
              <w:jc w:val="left"/>
              <w:rPr>
                <w:rFonts w:ascii="宋体" w:hAnsi="宋体"/>
                <w:color w:val="000000"/>
                <w:sz w:val="18"/>
                <w:szCs w:val="18"/>
              </w:rPr>
            </w:pPr>
            <w:r>
              <w:rPr>
                <w:rFonts w:hint="eastAsia" w:ascii="宋体" w:hAnsi="宋体"/>
                <w:color w:val="000000"/>
                <w:sz w:val="18"/>
                <w:szCs w:val="18"/>
              </w:rPr>
              <w:t>（3）中国白银货币文化；</w:t>
            </w:r>
          </w:p>
          <w:p w14:paraId="396197AA">
            <w:pPr>
              <w:snapToGrid w:val="0"/>
              <w:jc w:val="left"/>
              <w:rPr>
                <w:rFonts w:ascii="宋体" w:hAnsi="宋体"/>
                <w:color w:val="000000"/>
                <w:sz w:val="18"/>
                <w:szCs w:val="18"/>
              </w:rPr>
            </w:pPr>
            <w:r>
              <w:rPr>
                <w:rFonts w:hint="eastAsia" w:ascii="宋体" w:hAnsi="宋体"/>
                <w:color w:val="000000"/>
                <w:sz w:val="18"/>
                <w:szCs w:val="18"/>
              </w:rPr>
              <w:t>（4）中国黄金货币文化；</w:t>
            </w:r>
          </w:p>
          <w:p w14:paraId="7B431BEE">
            <w:pPr>
              <w:snapToGrid w:val="0"/>
              <w:jc w:val="left"/>
              <w:rPr>
                <w:rFonts w:ascii="宋体" w:hAnsi="宋体"/>
                <w:color w:val="000000"/>
                <w:sz w:val="18"/>
                <w:szCs w:val="18"/>
              </w:rPr>
            </w:pPr>
            <w:r>
              <w:rPr>
                <w:rFonts w:hint="eastAsia" w:ascii="宋体" w:hAnsi="宋体"/>
                <w:color w:val="000000"/>
                <w:sz w:val="18"/>
                <w:szCs w:val="18"/>
              </w:rPr>
              <w:t>（5）中国纸币文化；</w:t>
            </w:r>
          </w:p>
          <w:p w14:paraId="2DAFA187">
            <w:pPr>
              <w:snapToGrid w:val="0"/>
              <w:jc w:val="left"/>
              <w:rPr>
                <w:rFonts w:ascii="宋体" w:hAnsi="宋体"/>
                <w:color w:val="000000"/>
                <w:sz w:val="18"/>
                <w:szCs w:val="18"/>
              </w:rPr>
            </w:pPr>
            <w:r>
              <w:rPr>
                <w:rFonts w:hint="eastAsia" w:ascii="宋体" w:hAnsi="宋体"/>
                <w:color w:val="000000"/>
                <w:sz w:val="18"/>
                <w:szCs w:val="18"/>
              </w:rPr>
              <w:t>（6）中国典当文化；</w:t>
            </w:r>
          </w:p>
          <w:p w14:paraId="6D4AC83C">
            <w:pPr>
              <w:snapToGrid w:val="0"/>
              <w:jc w:val="left"/>
              <w:rPr>
                <w:rFonts w:ascii="宋体" w:hAnsi="宋体"/>
                <w:color w:val="000000"/>
                <w:sz w:val="18"/>
                <w:szCs w:val="18"/>
              </w:rPr>
            </w:pPr>
            <w:r>
              <w:rPr>
                <w:rFonts w:hint="eastAsia" w:ascii="宋体" w:hAnsi="宋体"/>
                <w:color w:val="000000"/>
                <w:sz w:val="18"/>
                <w:szCs w:val="18"/>
              </w:rPr>
              <w:t>（7）中国钱庄文化；</w:t>
            </w:r>
          </w:p>
          <w:p w14:paraId="6B22446F">
            <w:pPr>
              <w:snapToGrid w:val="0"/>
              <w:jc w:val="left"/>
              <w:rPr>
                <w:rFonts w:ascii="宋体" w:hAnsi="宋体"/>
                <w:color w:val="000000"/>
                <w:sz w:val="18"/>
                <w:szCs w:val="18"/>
              </w:rPr>
            </w:pPr>
            <w:r>
              <w:rPr>
                <w:rFonts w:hint="eastAsia" w:ascii="宋体" w:hAnsi="宋体"/>
                <w:color w:val="000000"/>
                <w:sz w:val="18"/>
                <w:szCs w:val="18"/>
              </w:rPr>
              <w:t>（8）中国票号文化；</w:t>
            </w:r>
          </w:p>
          <w:p w14:paraId="5C5212FC">
            <w:pPr>
              <w:snapToGrid w:val="0"/>
              <w:jc w:val="left"/>
              <w:rPr>
                <w:rFonts w:ascii="宋体" w:hAnsi="宋体"/>
                <w:color w:val="000000"/>
                <w:sz w:val="18"/>
                <w:szCs w:val="18"/>
              </w:rPr>
            </w:pPr>
            <w:r>
              <w:rPr>
                <w:rFonts w:hint="eastAsia" w:ascii="宋体" w:hAnsi="宋体"/>
                <w:color w:val="000000"/>
                <w:sz w:val="18"/>
                <w:szCs w:val="18"/>
              </w:rPr>
              <w:t>（9）中国银行业文化；</w:t>
            </w:r>
          </w:p>
          <w:p w14:paraId="68CBD845">
            <w:pPr>
              <w:snapToGrid w:val="0"/>
              <w:jc w:val="left"/>
              <w:rPr>
                <w:rFonts w:ascii="宋体" w:hAnsi="宋体"/>
                <w:color w:val="000000"/>
                <w:sz w:val="18"/>
                <w:szCs w:val="18"/>
              </w:rPr>
            </w:pPr>
            <w:r>
              <w:rPr>
                <w:rFonts w:hint="eastAsia" w:ascii="宋体" w:hAnsi="宋体"/>
                <w:color w:val="000000"/>
                <w:sz w:val="18"/>
                <w:szCs w:val="18"/>
              </w:rPr>
              <w:t>（10）中国保险业务文化；</w:t>
            </w:r>
          </w:p>
          <w:p w14:paraId="4E608B86">
            <w:pPr>
              <w:snapToGrid w:val="0"/>
              <w:jc w:val="left"/>
              <w:rPr>
                <w:rFonts w:ascii="宋体" w:hAnsi="宋体"/>
                <w:color w:val="000000"/>
                <w:sz w:val="18"/>
                <w:szCs w:val="18"/>
              </w:rPr>
            </w:pPr>
            <w:r>
              <w:rPr>
                <w:rFonts w:hint="eastAsia" w:ascii="宋体" w:hAnsi="宋体"/>
                <w:color w:val="000000"/>
                <w:sz w:val="18"/>
                <w:szCs w:val="18"/>
              </w:rPr>
              <w:t>（11）中国证券业文化。</w:t>
            </w:r>
          </w:p>
        </w:tc>
        <w:tc>
          <w:tcPr>
            <w:tcW w:w="2482" w:type="dxa"/>
          </w:tcPr>
          <w:p w14:paraId="4D3D04DC">
            <w:pPr>
              <w:snapToGrid w:val="0"/>
              <w:jc w:val="left"/>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03E07B73">
            <w:pPr>
              <w:snapToGrid w:val="0"/>
              <w:jc w:val="left"/>
              <w:rPr>
                <w:rFonts w:ascii="宋体" w:hAnsi="宋体"/>
                <w:color w:val="000000"/>
                <w:sz w:val="18"/>
                <w:szCs w:val="18"/>
              </w:rPr>
            </w:pPr>
            <w:r>
              <w:rPr>
                <w:rFonts w:hint="eastAsia" w:ascii="宋体" w:hAnsi="宋体"/>
                <w:color w:val="000000"/>
                <w:sz w:val="18"/>
                <w:szCs w:val="18"/>
              </w:rPr>
              <w:t>（2）教学方法：坚持以学生为中心，结合讲授、案例分析、讨论等多种教学手段，同时融入课程思政，将立德树人贯穿始终。</w:t>
            </w:r>
          </w:p>
          <w:p w14:paraId="731FD017">
            <w:pPr>
              <w:snapToGrid w:val="0"/>
              <w:jc w:val="left"/>
              <w:rPr>
                <w:rFonts w:ascii="宋体" w:hAnsi="宋体"/>
                <w:color w:val="000000"/>
                <w:sz w:val="18"/>
                <w:szCs w:val="18"/>
              </w:rPr>
            </w:pPr>
            <w:r>
              <w:rPr>
                <w:rFonts w:hint="eastAsia" w:ascii="宋体" w:hAnsi="宋体"/>
                <w:color w:val="000000"/>
                <w:sz w:val="18"/>
                <w:szCs w:val="18"/>
              </w:rPr>
              <w:t>（3）师资要求：担任本课程的教师应该具备扎实的理论基础和良好的语言表达能力。</w:t>
            </w:r>
          </w:p>
          <w:p w14:paraId="57844EA2">
            <w:pPr>
              <w:snapToGrid w:val="0"/>
              <w:jc w:val="left"/>
              <w:rPr>
                <w:rFonts w:ascii="宋体" w:hAnsi="宋体"/>
                <w:color w:val="000000"/>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27DA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7" w:type="dxa"/>
            <w:vAlign w:val="center"/>
          </w:tcPr>
          <w:p w14:paraId="241CE292">
            <w:pPr>
              <w:adjustRightInd w:val="0"/>
              <w:snapToGrid w:val="0"/>
              <w:spacing w:line="276" w:lineRule="auto"/>
              <w:rPr>
                <w:rFonts w:hint="eastAsia" w:ascii="宋体" w:hAnsi="宋体" w:eastAsia="宋体" w:cs="宋体"/>
                <w:sz w:val="18"/>
                <w:szCs w:val="18"/>
                <w:lang w:eastAsia="zh-CN"/>
              </w:rPr>
            </w:pPr>
            <w:r>
              <w:rPr>
                <w:rFonts w:hint="eastAsia" w:ascii="宋体" w:hAnsi="宋体" w:cs="宋体"/>
                <w:sz w:val="18"/>
                <w:szCs w:val="18"/>
                <w:lang w:eastAsia="zh-CN"/>
              </w:rPr>
              <w:t>公司理</w:t>
            </w:r>
            <w:r>
              <w:rPr>
                <w:rFonts w:hint="eastAsia" w:ascii="宋体" w:hAnsi="宋体" w:cs="宋体"/>
                <w:sz w:val="18"/>
                <w:szCs w:val="18"/>
                <w:lang w:val="en-US" w:eastAsia="zh-CN"/>
              </w:rPr>
              <w:t xml:space="preserve"> </w:t>
            </w:r>
            <w:r>
              <w:rPr>
                <w:rFonts w:hint="eastAsia" w:ascii="宋体" w:hAnsi="宋体" w:cs="宋体"/>
                <w:sz w:val="18"/>
                <w:szCs w:val="18"/>
                <w:lang w:eastAsia="zh-CN"/>
              </w:rPr>
              <w:t>财</w:t>
            </w:r>
          </w:p>
        </w:tc>
        <w:tc>
          <w:tcPr>
            <w:tcW w:w="2850" w:type="dxa"/>
          </w:tcPr>
          <w:p w14:paraId="00452F76">
            <w:pPr>
              <w:snapToGrid w:val="0"/>
              <w:jc w:val="left"/>
              <w:rPr>
                <w:rFonts w:ascii="宋体" w:hAnsi="宋体"/>
                <w:b/>
                <w:bCs/>
                <w:color w:val="000000"/>
                <w:sz w:val="18"/>
                <w:szCs w:val="18"/>
              </w:rPr>
            </w:pPr>
            <w:r>
              <w:rPr>
                <w:rFonts w:hint="eastAsia" w:ascii="宋体" w:hAnsi="宋体"/>
                <w:b/>
                <w:bCs/>
                <w:color w:val="000000"/>
                <w:sz w:val="18"/>
                <w:szCs w:val="18"/>
              </w:rPr>
              <w:t>素质目标：</w:t>
            </w:r>
          </w:p>
          <w:p w14:paraId="3FAFE005">
            <w:pPr>
              <w:snapToGrid w:val="0"/>
              <w:jc w:val="left"/>
              <w:rPr>
                <w:rFonts w:ascii="宋体" w:hAnsi="宋体"/>
                <w:color w:val="000000"/>
                <w:sz w:val="18"/>
                <w:szCs w:val="18"/>
              </w:rPr>
            </w:pPr>
            <w:r>
              <w:rPr>
                <w:rFonts w:hint="eastAsia" w:ascii="宋体" w:hAnsi="宋体"/>
                <w:color w:val="000000"/>
                <w:sz w:val="18"/>
                <w:szCs w:val="18"/>
              </w:rPr>
              <w:t>培养学生具有财务风险意识和资金时间价值观念；培养学生认真、细致、严谨的工作作风，提升学生社会适应能力和自主学习能力；树立良好的职业道德。</w:t>
            </w:r>
          </w:p>
          <w:p w14:paraId="0EF8CE50">
            <w:pPr>
              <w:snapToGrid w:val="0"/>
              <w:jc w:val="left"/>
              <w:rPr>
                <w:rFonts w:ascii="宋体" w:hAnsi="宋体"/>
                <w:b/>
                <w:bCs/>
                <w:color w:val="000000"/>
                <w:sz w:val="18"/>
                <w:szCs w:val="18"/>
              </w:rPr>
            </w:pPr>
            <w:r>
              <w:rPr>
                <w:rFonts w:hint="eastAsia" w:ascii="宋体" w:hAnsi="宋体"/>
                <w:b/>
                <w:bCs/>
                <w:color w:val="000000"/>
                <w:sz w:val="18"/>
                <w:szCs w:val="18"/>
              </w:rPr>
              <w:t>知识目标：</w:t>
            </w:r>
          </w:p>
          <w:p w14:paraId="001D6C8B">
            <w:pPr>
              <w:snapToGrid w:val="0"/>
              <w:jc w:val="left"/>
              <w:rPr>
                <w:rFonts w:ascii="宋体" w:hAnsi="宋体"/>
                <w:color w:val="000000"/>
                <w:sz w:val="18"/>
                <w:szCs w:val="18"/>
              </w:rPr>
            </w:pPr>
            <w:r>
              <w:rPr>
                <w:rFonts w:hint="eastAsia" w:ascii="宋体" w:hAnsi="宋体"/>
                <w:color w:val="000000"/>
                <w:sz w:val="18"/>
                <w:szCs w:val="18"/>
              </w:rPr>
              <w:t>通过本课程的学习，学生能够掌握资金时间价值、风险价值的计算和风险的衡量方法；掌握筹资管理、投资管理、营运资金管理、收益分配管理、财务分析指标等计算与分析方法。</w:t>
            </w:r>
          </w:p>
          <w:p w14:paraId="22AB766F">
            <w:pPr>
              <w:snapToGrid w:val="0"/>
              <w:jc w:val="left"/>
              <w:rPr>
                <w:rFonts w:ascii="宋体" w:hAnsi="宋体"/>
                <w:b/>
                <w:bCs/>
                <w:color w:val="000000"/>
                <w:sz w:val="18"/>
                <w:szCs w:val="18"/>
              </w:rPr>
            </w:pPr>
            <w:r>
              <w:rPr>
                <w:rFonts w:hint="eastAsia" w:ascii="宋体" w:hAnsi="宋体"/>
                <w:b/>
                <w:bCs/>
                <w:color w:val="000000"/>
                <w:sz w:val="18"/>
                <w:szCs w:val="18"/>
              </w:rPr>
              <w:t>能力目标：</w:t>
            </w:r>
          </w:p>
          <w:p w14:paraId="6A1A1B8C">
            <w:pPr>
              <w:snapToGrid w:val="0"/>
              <w:jc w:val="left"/>
              <w:rPr>
                <w:rFonts w:ascii="宋体" w:hAnsi="宋体"/>
                <w:color w:val="000000"/>
                <w:sz w:val="18"/>
                <w:szCs w:val="18"/>
              </w:rPr>
            </w:pPr>
            <w:r>
              <w:rPr>
                <w:rFonts w:hint="eastAsia" w:ascii="宋体" w:hAnsi="宋体"/>
                <w:color w:val="000000"/>
                <w:sz w:val="18"/>
                <w:szCs w:val="18"/>
              </w:rPr>
              <w:t>能熟悉并运用筹资、投资、营运资金、收入分配等财务管理工作的基本方法，能简单分析政策法规变化对企业财务活动的影响，具备一定财务分析能力。</w:t>
            </w:r>
          </w:p>
        </w:tc>
        <w:tc>
          <w:tcPr>
            <w:tcW w:w="2385" w:type="dxa"/>
          </w:tcPr>
          <w:p w14:paraId="0D0C9466">
            <w:pPr>
              <w:snapToGrid w:val="0"/>
              <w:jc w:val="left"/>
              <w:rPr>
                <w:rFonts w:ascii="宋体" w:hAnsi="宋体"/>
                <w:color w:val="000000"/>
                <w:sz w:val="18"/>
                <w:szCs w:val="18"/>
              </w:rPr>
            </w:pPr>
            <w:r>
              <w:rPr>
                <w:rFonts w:hint="eastAsia" w:ascii="宋体" w:hAnsi="宋体"/>
                <w:color w:val="000000"/>
                <w:sz w:val="18"/>
                <w:szCs w:val="18"/>
              </w:rPr>
              <w:t>（1）财务管理认知；</w:t>
            </w:r>
          </w:p>
          <w:p w14:paraId="0ED3A132">
            <w:pPr>
              <w:snapToGrid w:val="0"/>
              <w:jc w:val="left"/>
              <w:rPr>
                <w:rFonts w:ascii="宋体" w:hAnsi="宋体"/>
                <w:color w:val="000000"/>
                <w:sz w:val="18"/>
                <w:szCs w:val="18"/>
              </w:rPr>
            </w:pPr>
            <w:r>
              <w:rPr>
                <w:rFonts w:hint="eastAsia" w:ascii="宋体" w:hAnsi="宋体"/>
                <w:color w:val="000000"/>
                <w:sz w:val="18"/>
                <w:szCs w:val="18"/>
              </w:rPr>
              <w:t>（2）财务管理基本方法应用；</w:t>
            </w:r>
          </w:p>
          <w:p w14:paraId="78AE6FD5">
            <w:pPr>
              <w:snapToGrid w:val="0"/>
              <w:jc w:val="left"/>
              <w:rPr>
                <w:rFonts w:ascii="宋体" w:hAnsi="宋体"/>
                <w:color w:val="000000"/>
                <w:sz w:val="18"/>
                <w:szCs w:val="18"/>
              </w:rPr>
            </w:pPr>
            <w:r>
              <w:rPr>
                <w:rFonts w:hint="eastAsia" w:ascii="宋体" w:hAnsi="宋体"/>
                <w:color w:val="000000"/>
                <w:sz w:val="18"/>
                <w:szCs w:val="18"/>
              </w:rPr>
              <w:t>（3）筹资管理；</w:t>
            </w:r>
          </w:p>
          <w:p w14:paraId="75E929A7">
            <w:pPr>
              <w:snapToGrid w:val="0"/>
              <w:jc w:val="left"/>
              <w:rPr>
                <w:rFonts w:ascii="宋体" w:hAnsi="宋体"/>
                <w:color w:val="000000"/>
                <w:sz w:val="18"/>
                <w:szCs w:val="18"/>
              </w:rPr>
            </w:pPr>
            <w:r>
              <w:rPr>
                <w:rFonts w:hint="eastAsia" w:ascii="宋体" w:hAnsi="宋体"/>
                <w:color w:val="000000"/>
                <w:sz w:val="18"/>
                <w:szCs w:val="18"/>
              </w:rPr>
              <w:t>（4）投资管理；</w:t>
            </w:r>
          </w:p>
          <w:p w14:paraId="3EC80590">
            <w:pPr>
              <w:snapToGrid w:val="0"/>
              <w:jc w:val="left"/>
              <w:rPr>
                <w:rFonts w:ascii="宋体" w:hAnsi="宋体"/>
                <w:color w:val="000000"/>
                <w:sz w:val="18"/>
                <w:szCs w:val="18"/>
              </w:rPr>
            </w:pPr>
            <w:r>
              <w:rPr>
                <w:rFonts w:hint="eastAsia" w:ascii="宋体" w:hAnsi="宋体"/>
                <w:color w:val="000000"/>
                <w:sz w:val="18"/>
                <w:szCs w:val="18"/>
              </w:rPr>
              <w:t>（5）营运资金管理；</w:t>
            </w:r>
          </w:p>
          <w:p w14:paraId="71A142EE">
            <w:pPr>
              <w:snapToGrid w:val="0"/>
              <w:jc w:val="left"/>
              <w:rPr>
                <w:rFonts w:ascii="宋体" w:hAnsi="宋体"/>
                <w:color w:val="000000"/>
                <w:sz w:val="18"/>
                <w:szCs w:val="18"/>
              </w:rPr>
            </w:pPr>
            <w:r>
              <w:rPr>
                <w:rFonts w:hint="eastAsia" w:ascii="宋体" w:hAnsi="宋体"/>
                <w:color w:val="000000"/>
                <w:sz w:val="18"/>
                <w:szCs w:val="18"/>
              </w:rPr>
              <w:t>（6）收入与分配管理；</w:t>
            </w:r>
          </w:p>
          <w:p w14:paraId="3A6BDAB6">
            <w:pPr>
              <w:snapToGrid w:val="0"/>
              <w:jc w:val="left"/>
              <w:rPr>
                <w:rFonts w:ascii="宋体" w:hAnsi="宋体"/>
                <w:color w:val="000000"/>
                <w:sz w:val="18"/>
                <w:szCs w:val="18"/>
              </w:rPr>
            </w:pPr>
            <w:r>
              <w:rPr>
                <w:rFonts w:hint="eastAsia" w:ascii="宋体" w:hAnsi="宋体"/>
                <w:color w:val="000000"/>
                <w:sz w:val="18"/>
                <w:szCs w:val="18"/>
              </w:rPr>
              <w:t>（7）财务分析与评价</w:t>
            </w:r>
          </w:p>
        </w:tc>
        <w:tc>
          <w:tcPr>
            <w:tcW w:w="2482" w:type="dxa"/>
          </w:tcPr>
          <w:p w14:paraId="55BC8522">
            <w:pPr>
              <w:snapToGrid w:val="0"/>
              <w:jc w:val="left"/>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6CADD5A7">
            <w:pPr>
              <w:snapToGrid w:val="0"/>
              <w:jc w:val="left"/>
              <w:rPr>
                <w:rFonts w:ascii="宋体" w:hAnsi="宋体"/>
                <w:color w:val="000000"/>
                <w:sz w:val="18"/>
                <w:szCs w:val="18"/>
              </w:rPr>
            </w:pPr>
            <w:r>
              <w:rPr>
                <w:rFonts w:hint="eastAsia" w:ascii="宋体" w:hAnsi="宋体"/>
                <w:color w:val="000000"/>
                <w:sz w:val="18"/>
                <w:szCs w:val="18"/>
              </w:rPr>
              <w:t>（2）教学方法：坚持以学生为中心，根据财务管理岗位的特点、要求及环境，结合案例教学、启发式教学、角色扮演等多种教学方法，同时融入课程思政，将立德树人贯穿始终。</w:t>
            </w:r>
          </w:p>
          <w:p w14:paraId="015C4279">
            <w:pPr>
              <w:snapToGrid w:val="0"/>
              <w:jc w:val="left"/>
              <w:rPr>
                <w:rFonts w:ascii="宋体" w:hAnsi="宋体"/>
                <w:color w:val="000000"/>
                <w:sz w:val="18"/>
                <w:szCs w:val="18"/>
              </w:rPr>
            </w:pPr>
            <w:r>
              <w:rPr>
                <w:rFonts w:hint="eastAsia" w:ascii="宋体" w:hAnsi="宋体"/>
                <w:color w:val="000000"/>
                <w:sz w:val="18"/>
                <w:szCs w:val="18"/>
              </w:rPr>
              <w:t>（3）师资要求：担任本课程的教师应该具备扎实的专业基础理论，具备财务管理各项业务的处理能力并熟悉相关业务分析和决策方法。</w:t>
            </w:r>
          </w:p>
          <w:p w14:paraId="058B5F3D">
            <w:pPr>
              <w:snapToGrid w:val="0"/>
              <w:jc w:val="left"/>
              <w:rPr>
                <w:rFonts w:ascii="宋体" w:hAnsi="宋体"/>
                <w:color w:val="000000"/>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54FE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7" w:type="dxa"/>
            <w:vAlign w:val="center"/>
          </w:tcPr>
          <w:p w14:paraId="00F0DDA3">
            <w:pPr>
              <w:adjustRightInd w:val="0"/>
              <w:snapToGrid w:val="0"/>
              <w:spacing w:line="276" w:lineRule="auto"/>
              <w:rPr>
                <w:rFonts w:ascii="宋体" w:hAnsi="宋体" w:cs="宋体"/>
                <w:sz w:val="18"/>
                <w:szCs w:val="18"/>
              </w:rPr>
            </w:pPr>
            <w:r>
              <w:rPr>
                <w:rFonts w:hint="eastAsia" w:ascii="宋体" w:hAnsi="宋体"/>
                <w:sz w:val="18"/>
                <w:szCs w:val="18"/>
              </w:rPr>
              <w:t>银行会计实</w:t>
            </w:r>
            <w:r>
              <w:rPr>
                <w:rFonts w:hint="eastAsia" w:ascii="宋体" w:hAnsi="宋体"/>
                <w:sz w:val="18"/>
                <w:szCs w:val="18"/>
                <w:lang w:val="en-US" w:eastAsia="zh-CN"/>
              </w:rPr>
              <w:t xml:space="preserve"> </w:t>
            </w:r>
            <w:r>
              <w:rPr>
                <w:rFonts w:hint="eastAsia" w:ascii="宋体" w:hAnsi="宋体"/>
                <w:sz w:val="18"/>
                <w:szCs w:val="18"/>
              </w:rPr>
              <w:t>务</w:t>
            </w:r>
          </w:p>
        </w:tc>
        <w:tc>
          <w:tcPr>
            <w:tcW w:w="2850" w:type="dxa"/>
            <w:vAlign w:val="center"/>
          </w:tcPr>
          <w:p w14:paraId="05CDDE83">
            <w:pPr>
              <w:snapToGrid w:val="0"/>
              <w:jc w:val="left"/>
              <w:rPr>
                <w:rFonts w:ascii="宋体" w:hAnsi="宋体"/>
                <w:b/>
                <w:bCs/>
                <w:color w:val="000000"/>
                <w:sz w:val="18"/>
                <w:szCs w:val="18"/>
              </w:rPr>
            </w:pPr>
            <w:r>
              <w:rPr>
                <w:rFonts w:hint="eastAsia" w:ascii="宋体" w:hAnsi="宋体"/>
                <w:b/>
                <w:bCs/>
                <w:color w:val="000000"/>
                <w:sz w:val="18"/>
                <w:szCs w:val="18"/>
              </w:rPr>
              <w:t>素质目标：</w:t>
            </w:r>
          </w:p>
          <w:p w14:paraId="0948F1EF">
            <w:pPr>
              <w:snapToGrid w:val="0"/>
              <w:jc w:val="left"/>
              <w:rPr>
                <w:rFonts w:ascii="宋体" w:hAnsi="宋体"/>
                <w:color w:val="000000"/>
                <w:sz w:val="18"/>
                <w:szCs w:val="18"/>
              </w:rPr>
            </w:pPr>
            <w:r>
              <w:rPr>
                <w:rFonts w:hint="eastAsia" w:ascii="宋体" w:hAnsi="宋体"/>
                <w:color w:val="000000"/>
                <w:sz w:val="18"/>
                <w:szCs w:val="18"/>
              </w:rPr>
              <w:t>培养学生细致、严谨的工作作风、培养学生遵纪守法、爱岗敬业、勤劳奉献的职业品质。</w:t>
            </w:r>
          </w:p>
          <w:p w14:paraId="3E94E226">
            <w:pPr>
              <w:snapToGrid w:val="0"/>
              <w:jc w:val="left"/>
              <w:rPr>
                <w:rFonts w:ascii="宋体" w:hAnsi="宋体"/>
                <w:b/>
                <w:bCs/>
                <w:color w:val="000000"/>
                <w:sz w:val="18"/>
                <w:szCs w:val="18"/>
              </w:rPr>
            </w:pPr>
            <w:r>
              <w:rPr>
                <w:rFonts w:hint="eastAsia" w:ascii="宋体" w:hAnsi="宋体"/>
                <w:b/>
                <w:bCs/>
                <w:color w:val="000000"/>
                <w:sz w:val="18"/>
                <w:szCs w:val="18"/>
              </w:rPr>
              <w:t>知识目标：</w:t>
            </w:r>
          </w:p>
          <w:p w14:paraId="3476CDD1">
            <w:pPr>
              <w:snapToGrid w:val="0"/>
              <w:jc w:val="left"/>
              <w:rPr>
                <w:rFonts w:ascii="宋体" w:hAnsi="宋体"/>
                <w:color w:val="000000"/>
                <w:sz w:val="18"/>
                <w:szCs w:val="18"/>
              </w:rPr>
            </w:pPr>
            <w:r>
              <w:rPr>
                <w:rFonts w:hint="eastAsia" w:ascii="宋体" w:hAnsi="宋体"/>
                <w:color w:val="000000"/>
                <w:sz w:val="18"/>
                <w:szCs w:val="18"/>
              </w:rPr>
              <w:t>通过本课程的学习，使学生能熟练掌握商业银行一线对公业务的内容，处理方法及操作流程，能够熟悉各项单证、凭证的使用、管理规定和操作规范，培养学生能够胜任银行对公岗位的职业技能。</w:t>
            </w:r>
          </w:p>
          <w:p w14:paraId="7008AE76">
            <w:pPr>
              <w:snapToGrid w:val="0"/>
              <w:jc w:val="left"/>
              <w:rPr>
                <w:rFonts w:ascii="宋体" w:hAnsi="宋体"/>
                <w:b/>
                <w:bCs/>
                <w:color w:val="000000"/>
                <w:sz w:val="18"/>
                <w:szCs w:val="18"/>
              </w:rPr>
            </w:pPr>
            <w:r>
              <w:rPr>
                <w:rFonts w:hint="eastAsia" w:ascii="宋体" w:hAnsi="宋体"/>
                <w:b/>
                <w:bCs/>
                <w:color w:val="000000"/>
                <w:sz w:val="18"/>
                <w:szCs w:val="18"/>
              </w:rPr>
              <w:t>能力目标：</w:t>
            </w:r>
          </w:p>
          <w:p w14:paraId="00459D00">
            <w:pPr>
              <w:snapToGrid w:val="0"/>
              <w:jc w:val="left"/>
              <w:rPr>
                <w:rFonts w:ascii="宋体" w:hAnsi="宋体"/>
                <w:color w:val="000000"/>
                <w:sz w:val="18"/>
                <w:szCs w:val="18"/>
              </w:rPr>
            </w:pPr>
            <w:r>
              <w:rPr>
                <w:rFonts w:hint="eastAsia" w:ascii="宋体" w:hAnsi="宋体"/>
                <w:color w:val="000000"/>
                <w:sz w:val="18"/>
                <w:szCs w:val="18"/>
              </w:rPr>
              <w:t>能对商业银行会计业务用专业语言表达，具有一定的观察、理解、计算、判断及应变能力。</w:t>
            </w:r>
          </w:p>
        </w:tc>
        <w:tc>
          <w:tcPr>
            <w:tcW w:w="2385" w:type="dxa"/>
            <w:vAlign w:val="center"/>
          </w:tcPr>
          <w:p w14:paraId="6C3C8662">
            <w:pPr>
              <w:snapToGrid w:val="0"/>
              <w:jc w:val="left"/>
              <w:rPr>
                <w:rFonts w:ascii="宋体" w:hAnsi="宋体"/>
                <w:color w:val="000000"/>
                <w:sz w:val="18"/>
                <w:szCs w:val="18"/>
              </w:rPr>
            </w:pPr>
            <w:r>
              <w:rPr>
                <w:rFonts w:hint="eastAsia" w:ascii="宋体" w:hAnsi="宋体"/>
                <w:color w:val="000000"/>
                <w:sz w:val="18"/>
                <w:szCs w:val="18"/>
              </w:rPr>
              <w:t>（1）银行会计概述；</w:t>
            </w:r>
          </w:p>
          <w:p w14:paraId="2B2866EA">
            <w:pPr>
              <w:snapToGrid w:val="0"/>
              <w:jc w:val="left"/>
              <w:rPr>
                <w:rFonts w:ascii="宋体" w:hAnsi="宋体"/>
                <w:color w:val="000000"/>
                <w:sz w:val="18"/>
                <w:szCs w:val="18"/>
              </w:rPr>
            </w:pPr>
            <w:r>
              <w:rPr>
                <w:rFonts w:hint="eastAsia" w:ascii="宋体" w:hAnsi="宋体"/>
                <w:color w:val="000000"/>
                <w:sz w:val="18"/>
                <w:szCs w:val="18"/>
              </w:rPr>
              <w:t>（2）银行会计基本核算方法；</w:t>
            </w:r>
          </w:p>
          <w:p w14:paraId="0F33D017">
            <w:pPr>
              <w:snapToGrid w:val="0"/>
              <w:jc w:val="left"/>
              <w:rPr>
                <w:rFonts w:ascii="宋体" w:hAnsi="宋体"/>
                <w:color w:val="000000"/>
                <w:sz w:val="18"/>
                <w:szCs w:val="18"/>
              </w:rPr>
            </w:pPr>
            <w:r>
              <w:rPr>
                <w:rFonts w:hint="eastAsia" w:ascii="宋体" w:hAnsi="宋体"/>
                <w:color w:val="000000"/>
                <w:sz w:val="18"/>
                <w:szCs w:val="18"/>
              </w:rPr>
              <w:t>（3）负债业务；</w:t>
            </w:r>
          </w:p>
          <w:p w14:paraId="1F91DE31">
            <w:pPr>
              <w:snapToGrid w:val="0"/>
              <w:jc w:val="left"/>
              <w:rPr>
                <w:rFonts w:ascii="宋体" w:hAnsi="宋体"/>
                <w:color w:val="000000"/>
                <w:sz w:val="18"/>
                <w:szCs w:val="18"/>
              </w:rPr>
            </w:pPr>
            <w:r>
              <w:rPr>
                <w:rFonts w:hint="eastAsia" w:ascii="宋体" w:hAnsi="宋体"/>
                <w:color w:val="000000"/>
                <w:sz w:val="18"/>
                <w:szCs w:val="18"/>
              </w:rPr>
              <w:t>（4）资产业务；</w:t>
            </w:r>
          </w:p>
          <w:p w14:paraId="52A2DEF5">
            <w:pPr>
              <w:snapToGrid w:val="0"/>
              <w:jc w:val="left"/>
              <w:rPr>
                <w:rFonts w:ascii="宋体" w:hAnsi="宋体"/>
                <w:color w:val="000000"/>
                <w:sz w:val="18"/>
                <w:szCs w:val="18"/>
              </w:rPr>
            </w:pPr>
            <w:r>
              <w:rPr>
                <w:rFonts w:hint="eastAsia" w:ascii="宋体" w:hAnsi="宋体"/>
                <w:color w:val="000000"/>
                <w:sz w:val="18"/>
                <w:szCs w:val="18"/>
              </w:rPr>
              <w:t>（5）中间业务；</w:t>
            </w:r>
          </w:p>
          <w:p w14:paraId="792FD44B">
            <w:pPr>
              <w:snapToGrid w:val="0"/>
              <w:jc w:val="left"/>
              <w:rPr>
                <w:rFonts w:ascii="宋体" w:hAnsi="宋体"/>
                <w:color w:val="000000"/>
                <w:sz w:val="18"/>
                <w:szCs w:val="18"/>
              </w:rPr>
            </w:pPr>
            <w:r>
              <w:rPr>
                <w:rFonts w:hint="eastAsia" w:ascii="宋体" w:hAnsi="宋体"/>
                <w:color w:val="000000"/>
                <w:sz w:val="18"/>
                <w:szCs w:val="18"/>
              </w:rPr>
              <w:t>（6）资金清算业务；</w:t>
            </w:r>
          </w:p>
          <w:p w14:paraId="7EC31B92">
            <w:pPr>
              <w:snapToGrid w:val="0"/>
              <w:jc w:val="left"/>
              <w:rPr>
                <w:rFonts w:ascii="宋体" w:hAnsi="宋体"/>
                <w:color w:val="000000"/>
                <w:sz w:val="18"/>
                <w:szCs w:val="18"/>
              </w:rPr>
            </w:pPr>
            <w:r>
              <w:rPr>
                <w:rFonts w:hint="eastAsia" w:ascii="宋体" w:hAnsi="宋体"/>
                <w:color w:val="000000"/>
                <w:sz w:val="18"/>
                <w:szCs w:val="18"/>
              </w:rPr>
              <w:t>（7）金融机构往来业务；</w:t>
            </w:r>
          </w:p>
          <w:p w14:paraId="5A285D61">
            <w:pPr>
              <w:snapToGrid w:val="0"/>
              <w:jc w:val="left"/>
              <w:rPr>
                <w:rFonts w:ascii="宋体" w:hAnsi="宋体"/>
                <w:color w:val="000000"/>
                <w:sz w:val="18"/>
                <w:szCs w:val="18"/>
              </w:rPr>
            </w:pPr>
            <w:r>
              <w:rPr>
                <w:rFonts w:hint="eastAsia" w:ascii="宋体" w:hAnsi="宋体"/>
                <w:color w:val="000000"/>
                <w:sz w:val="18"/>
                <w:szCs w:val="18"/>
              </w:rPr>
              <w:t>（8）经营成果与所有者权益；</w:t>
            </w:r>
          </w:p>
          <w:p w14:paraId="44C820A1">
            <w:pPr>
              <w:snapToGrid w:val="0"/>
              <w:jc w:val="left"/>
              <w:rPr>
                <w:rFonts w:ascii="宋体" w:hAnsi="宋体"/>
                <w:color w:val="000000"/>
                <w:sz w:val="18"/>
                <w:szCs w:val="18"/>
              </w:rPr>
            </w:pPr>
            <w:r>
              <w:rPr>
                <w:rFonts w:hint="eastAsia" w:ascii="宋体" w:hAnsi="宋体"/>
                <w:color w:val="000000"/>
                <w:sz w:val="18"/>
                <w:szCs w:val="18"/>
              </w:rPr>
              <w:t>（9）年度决算。</w:t>
            </w:r>
          </w:p>
        </w:tc>
        <w:tc>
          <w:tcPr>
            <w:tcW w:w="2482" w:type="dxa"/>
            <w:vAlign w:val="center"/>
          </w:tcPr>
          <w:p w14:paraId="61A7B254">
            <w:pPr>
              <w:snapToGrid w:val="0"/>
              <w:jc w:val="left"/>
              <w:rPr>
                <w:rFonts w:ascii="宋体" w:hAnsi="宋体"/>
                <w:color w:val="000000"/>
                <w:sz w:val="18"/>
                <w:szCs w:val="18"/>
              </w:rPr>
            </w:pPr>
            <w:r>
              <w:rPr>
                <w:rFonts w:hint="eastAsia" w:ascii="宋体" w:hAnsi="宋体"/>
                <w:color w:val="000000"/>
                <w:sz w:val="18"/>
                <w:szCs w:val="18"/>
              </w:rPr>
              <w:t>（1）教学条件：授课主要在多媒体教室进行；准备发票、记账凭证、账簿等教学辅助用品。</w:t>
            </w:r>
          </w:p>
          <w:p w14:paraId="6C977251">
            <w:pPr>
              <w:snapToGrid w:val="0"/>
              <w:jc w:val="left"/>
              <w:rPr>
                <w:rFonts w:ascii="宋体" w:hAnsi="宋体"/>
                <w:color w:val="000000"/>
                <w:sz w:val="18"/>
                <w:szCs w:val="18"/>
              </w:rPr>
            </w:pPr>
            <w:r>
              <w:rPr>
                <w:rFonts w:hint="eastAsia" w:ascii="宋体" w:hAnsi="宋体"/>
                <w:color w:val="000000"/>
                <w:sz w:val="18"/>
                <w:szCs w:val="18"/>
              </w:rPr>
              <w:t>（2）教学方法：结合学生特点，主要采用案例分析法、任务驱动法教学；融入课程思政，将财经职业道德贯穿课堂始终。</w:t>
            </w:r>
          </w:p>
          <w:p w14:paraId="028855A9">
            <w:pPr>
              <w:snapToGrid w:val="0"/>
              <w:jc w:val="left"/>
              <w:rPr>
                <w:rFonts w:ascii="宋体" w:hAnsi="宋体"/>
                <w:color w:val="000000"/>
                <w:sz w:val="18"/>
                <w:szCs w:val="18"/>
              </w:rPr>
            </w:pPr>
            <w:r>
              <w:rPr>
                <w:rFonts w:hint="eastAsia" w:ascii="宋体" w:hAnsi="宋体"/>
                <w:color w:val="000000"/>
                <w:sz w:val="18"/>
                <w:szCs w:val="18"/>
              </w:rPr>
              <w:t>（3）师资要求：担任本课程的教师应该具备扎实的专业知识，能够理论联系实际。</w:t>
            </w:r>
          </w:p>
          <w:p w14:paraId="5227C4E6">
            <w:pPr>
              <w:snapToGrid w:val="0"/>
              <w:jc w:val="left"/>
              <w:rPr>
                <w:rFonts w:ascii="宋体" w:hAnsi="宋体"/>
                <w:color w:val="000000"/>
                <w:sz w:val="18"/>
                <w:szCs w:val="18"/>
              </w:rPr>
            </w:pPr>
            <w:r>
              <w:rPr>
                <w:rFonts w:hint="eastAsia" w:ascii="宋体" w:hAnsi="宋体"/>
                <w:color w:val="000000"/>
                <w:sz w:val="18"/>
                <w:szCs w:val="18"/>
              </w:rPr>
              <w:t>（4）课程考核：采用过程考核与结果考核相结合。过程考核根据考勤、学习态度、课堂检测、课后作业评定；占总成绩的50%，期末考试占总成绩的50%。</w:t>
            </w:r>
          </w:p>
        </w:tc>
      </w:tr>
      <w:tr w14:paraId="67E5D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87" w:type="dxa"/>
            <w:vAlign w:val="center"/>
          </w:tcPr>
          <w:p w14:paraId="4DCA4B41">
            <w:pPr>
              <w:adjustRightInd w:val="0"/>
              <w:snapToGrid w:val="0"/>
              <w:spacing w:line="276" w:lineRule="auto"/>
              <w:rPr>
                <w:rFonts w:ascii="宋体" w:hAnsi="宋体" w:cs="宋体"/>
                <w:sz w:val="18"/>
                <w:szCs w:val="18"/>
              </w:rPr>
            </w:pPr>
            <w:r>
              <w:rPr>
                <w:rFonts w:hint="eastAsia" w:ascii="宋体" w:hAnsi="宋体" w:cs="宋体"/>
                <w:sz w:val="18"/>
                <w:szCs w:val="18"/>
              </w:rPr>
              <w:t>管理沟通与谈判</w:t>
            </w:r>
          </w:p>
        </w:tc>
        <w:tc>
          <w:tcPr>
            <w:tcW w:w="2850" w:type="dxa"/>
          </w:tcPr>
          <w:p w14:paraId="6C06AB05">
            <w:pPr>
              <w:snapToGrid w:val="0"/>
              <w:jc w:val="left"/>
              <w:rPr>
                <w:rFonts w:ascii="宋体" w:hAnsi="宋体"/>
                <w:b/>
                <w:bCs/>
                <w:color w:val="000000"/>
                <w:sz w:val="18"/>
                <w:szCs w:val="18"/>
              </w:rPr>
            </w:pPr>
            <w:r>
              <w:rPr>
                <w:rFonts w:hint="eastAsia" w:ascii="宋体" w:hAnsi="宋体"/>
                <w:b/>
                <w:bCs/>
                <w:color w:val="000000"/>
                <w:sz w:val="18"/>
                <w:szCs w:val="18"/>
              </w:rPr>
              <w:t>素质目标：</w:t>
            </w:r>
          </w:p>
          <w:p w14:paraId="43B059C8">
            <w:pPr>
              <w:snapToGrid w:val="0"/>
              <w:jc w:val="left"/>
              <w:rPr>
                <w:rFonts w:ascii="宋体" w:hAnsi="宋体"/>
                <w:color w:val="000000"/>
                <w:sz w:val="18"/>
                <w:szCs w:val="18"/>
              </w:rPr>
            </w:pPr>
            <w:r>
              <w:rPr>
                <w:rFonts w:hint="eastAsia" w:ascii="宋体" w:hAnsi="宋体"/>
                <w:color w:val="000000"/>
                <w:sz w:val="18"/>
                <w:szCs w:val="18"/>
              </w:rPr>
              <w:t>培养学生沟通交流能力和商务谈判技能，培养学生认真、严谨、进取的工作作风与应变能力。</w:t>
            </w:r>
          </w:p>
          <w:p w14:paraId="03AF6F6D">
            <w:pPr>
              <w:snapToGrid w:val="0"/>
              <w:jc w:val="left"/>
              <w:rPr>
                <w:rFonts w:ascii="宋体" w:hAnsi="宋体"/>
                <w:b/>
                <w:bCs/>
                <w:color w:val="000000"/>
                <w:sz w:val="18"/>
                <w:szCs w:val="18"/>
              </w:rPr>
            </w:pPr>
            <w:r>
              <w:rPr>
                <w:rFonts w:hint="eastAsia" w:ascii="宋体" w:hAnsi="宋体"/>
                <w:b/>
                <w:bCs/>
                <w:color w:val="000000"/>
                <w:sz w:val="18"/>
                <w:szCs w:val="18"/>
              </w:rPr>
              <w:t>知识目标：</w:t>
            </w:r>
          </w:p>
          <w:p w14:paraId="2537DDC6">
            <w:pPr>
              <w:snapToGrid w:val="0"/>
              <w:jc w:val="left"/>
              <w:rPr>
                <w:rFonts w:ascii="宋体" w:hAnsi="宋体"/>
                <w:color w:val="000000"/>
                <w:sz w:val="18"/>
                <w:szCs w:val="18"/>
              </w:rPr>
            </w:pPr>
            <w:r>
              <w:rPr>
                <w:rFonts w:hint="eastAsia" w:ascii="宋体" w:hAnsi="宋体"/>
                <w:color w:val="000000"/>
                <w:sz w:val="18"/>
                <w:szCs w:val="18"/>
              </w:rPr>
              <w:t>通过本课程的学习，学生能够掌握有关商务沟通与谈判的基本知识与理论，掌握沟通及谈判的策略和技巧。</w:t>
            </w:r>
          </w:p>
          <w:p w14:paraId="72838B5E">
            <w:pPr>
              <w:snapToGrid w:val="0"/>
              <w:jc w:val="left"/>
              <w:rPr>
                <w:rFonts w:ascii="宋体" w:hAnsi="宋体"/>
                <w:b/>
                <w:bCs/>
                <w:color w:val="000000"/>
                <w:sz w:val="18"/>
                <w:szCs w:val="18"/>
              </w:rPr>
            </w:pPr>
            <w:r>
              <w:rPr>
                <w:rFonts w:hint="eastAsia" w:ascii="宋体" w:hAnsi="宋体"/>
                <w:b/>
                <w:bCs/>
                <w:color w:val="000000"/>
                <w:sz w:val="18"/>
                <w:szCs w:val="18"/>
              </w:rPr>
              <w:t>能力目标：</w:t>
            </w:r>
          </w:p>
          <w:p w14:paraId="54B4E72C">
            <w:pPr>
              <w:snapToGrid w:val="0"/>
              <w:jc w:val="left"/>
              <w:rPr>
                <w:rFonts w:ascii="宋体" w:hAnsi="宋体"/>
                <w:color w:val="000000"/>
                <w:sz w:val="18"/>
                <w:szCs w:val="18"/>
              </w:rPr>
            </w:pPr>
            <w:r>
              <w:rPr>
                <w:rFonts w:hint="eastAsia" w:ascii="宋体" w:hAnsi="宋体"/>
                <w:color w:val="000000"/>
                <w:sz w:val="18"/>
                <w:szCs w:val="18"/>
              </w:rPr>
              <w:t>能根据不同的场合选择相应的沟通方式与策略，能根据需要运用不同的谈判技巧；能运用沟通与谈判理论与技巧指导交流活动。</w:t>
            </w:r>
          </w:p>
        </w:tc>
        <w:tc>
          <w:tcPr>
            <w:tcW w:w="2385" w:type="dxa"/>
          </w:tcPr>
          <w:p w14:paraId="0614C5E7">
            <w:pPr>
              <w:snapToGrid w:val="0"/>
              <w:jc w:val="left"/>
              <w:rPr>
                <w:rFonts w:ascii="宋体" w:hAnsi="宋体"/>
                <w:color w:val="000000"/>
                <w:sz w:val="18"/>
                <w:szCs w:val="18"/>
              </w:rPr>
            </w:pPr>
            <w:r>
              <w:rPr>
                <w:rFonts w:hint="eastAsia" w:ascii="宋体" w:hAnsi="宋体"/>
                <w:color w:val="000000"/>
                <w:sz w:val="18"/>
                <w:szCs w:val="18"/>
              </w:rPr>
              <w:t>（1）管理沟通概述；</w:t>
            </w:r>
          </w:p>
          <w:p w14:paraId="0A428363">
            <w:pPr>
              <w:snapToGrid w:val="0"/>
              <w:jc w:val="left"/>
              <w:rPr>
                <w:rFonts w:ascii="宋体" w:hAnsi="宋体"/>
                <w:color w:val="000000"/>
                <w:sz w:val="18"/>
                <w:szCs w:val="18"/>
              </w:rPr>
            </w:pPr>
            <w:r>
              <w:rPr>
                <w:rFonts w:hint="eastAsia" w:ascii="宋体" w:hAnsi="宋体"/>
                <w:color w:val="000000"/>
                <w:sz w:val="18"/>
                <w:szCs w:val="18"/>
              </w:rPr>
              <w:t>（2）管理沟通相关理论；</w:t>
            </w:r>
          </w:p>
          <w:p w14:paraId="59924E84">
            <w:pPr>
              <w:snapToGrid w:val="0"/>
              <w:jc w:val="left"/>
              <w:rPr>
                <w:rFonts w:ascii="宋体" w:hAnsi="宋体"/>
                <w:color w:val="000000"/>
                <w:sz w:val="18"/>
                <w:szCs w:val="18"/>
              </w:rPr>
            </w:pPr>
            <w:r>
              <w:rPr>
                <w:rFonts w:hint="eastAsia" w:ascii="宋体" w:hAnsi="宋体"/>
                <w:color w:val="000000"/>
                <w:sz w:val="18"/>
                <w:szCs w:val="18"/>
              </w:rPr>
              <w:t>（3）有效倾听策略；</w:t>
            </w:r>
          </w:p>
          <w:p w14:paraId="05EA7F09">
            <w:pPr>
              <w:snapToGrid w:val="0"/>
              <w:jc w:val="left"/>
              <w:rPr>
                <w:rFonts w:ascii="宋体" w:hAnsi="宋体"/>
                <w:color w:val="000000"/>
                <w:sz w:val="18"/>
                <w:szCs w:val="18"/>
              </w:rPr>
            </w:pPr>
            <w:r>
              <w:rPr>
                <w:rFonts w:hint="eastAsia" w:ascii="宋体" w:hAnsi="宋体"/>
                <w:color w:val="000000"/>
                <w:sz w:val="18"/>
                <w:szCs w:val="18"/>
              </w:rPr>
              <w:t>（4）书面沟通表达；</w:t>
            </w:r>
          </w:p>
          <w:p w14:paraId="552BAEE9">
            <w:pPr>
              <w:snapToGrid w:val="0"/>
              <w:jc w:val="left"/>
              <w:rPr>
                <w:rFonts w:ascii="宋体" w:hAnsi="宋体"/>
                <w:color w:val="000000"/>
                <w:sz w:val="18"/>
                <w:szCs w:val="18"/>
              </w:rPr>
            </w:pPr>
            <w:r>
              <w:rPr>
                <w:rFonts w:hint="eastAsia" w:ascii="宋体" w:hAnsi="宋体"/>
                <w:color w:val="000000"/>
                <w:sz w:val="18"/>
                <w:szCs w:val="18"/>
              </w:rPr>
              <w:t>（5）沟通准备与演讲技巧；</w:t>
            </w:r>
          </w:p>
          <w:p w14:paraId="04C8A339">
            <w:pPr>
              <w:snapToGrid w:val="0"/>
              <w:jc w:val="left"/>
              <w:rPr>
                <w:rFonts w:ascii="宋体" w:hAnsi="宋体"/>
                <w:color w:val="000000"/>
                <w:sz w:val="18"/>
                <w:szCs w:val="18"/>
              </w:rPr>
            </w:pPr>
            <w:r>
              <w:rPr>
                <w:rFonts w:hint="eastAsia" w:ascii="宋体" w:hAnsi="宋体"/>
                <w:color w:val="000000"/>
                <w:sz w:val="18"/>
                <w:szCs w:val="18"/>
              </w:rPr>
              <w:t>（6）谈判的原则、策略及技巧；</w:t>
            </w:r>
          </w:p>
          <w:p w14:paraId="75B8FD5B">
            <w:pPr>
              <w:snapToGrid w:val="0"/>
              <w:jc w:val="left"/>
              <w:rPr>
                <w:rFonts w:ascii="宋体" w:hAnsi="宋体"/>
                <w:color w:val="000000"/>
                <w:sz w:val="18"/>
                <w:szCs w:val="18"/>
              </w:rPr>
            </w:pPr>
            <w:r>
              <w:rPr>
                <w:rFonts w:hint="eastAsia" w:ascii="宋体" w:hAnsi="宋体"/>
                <w:color w:val="000000"/>
                <w:sz w:val="18"/>
                <w:szCs w:val="18"/>
              </w:rPr>
              <w:t>（7）危机沟通的要件和原则；</w:t>
            </w:r>
          </w:p>
          <w:p w14:paraId="25BA0B9F">
            <w:pPr>
              <w:snapToGrid w:val="0"/>
              <w:jc w:val="left"/>
              <w:rPr>
                <w:rFonts w:ascii="宋体" w:hAnsi="宋体"/>
                <w:color w:val="000000"/>
                <w:sz w:val="18"/>
                <w:szCs w:val="18"/>
              </w:rPr>
            </w:pPr>
            <w:r>
              <w:rPr>
                <w:rFonts w:hint="eastAsia" w:ascii="宋体" w:hAnsi="宋体"/>
                <w:color w:val="000000"/>
                <w:sz w:val="18"/>
                <w:szCs w:val="18"/>
              </w:rPr>
              <w:t>（8）非言语沟通；</w:t>
            </w:r>
          </w:p>
          <w:p w14:paraId="72408F20">
            <w:pPr>
              <w:snapToGrid w:val="0"/>
              <w:jc w:val="left"/>
              <w:rPr>
                <w:rFonts w:ascii="宋体" w:hAnsi="宋体"/>
                <w:color w:val="000000"/>
                <w:sz w:val="18"/>
                <w:szCs w:val="18"/>
              </w:rPr>
            </w:pPr>
            <w:r>
              <w:rPr>
                <w:rFonts w:hint="eastAsia" w:ascii="宋体" w:hAnsi="宋体"/>
                <w:color w:val="000000"/>
                <w:sz w:val="18"/>
                <w:szCs w:val="18"/>
              </w:rPr>
              <w:t>（9）新闻媒体沟通的策略与技巧；</w:t>
            </w:r>
          </w:p>
          <w:p w14:paraId="20B1BB38">
            <w:pPr>
              <w:snapToGrid w:val="0"/>
              <w:jc w:val="left"/>
              <w:rPr>
                <w:rFonts w:ascii="宋体" w:hAnsi="宋体"/>
                <w:color w:val="000000"/>
                <w:sz w:val="18"/>
                <w:szCs w:val="18"/>
              </w:rPr>
            </w:pPr>
            <w:r>
              <w:rPr>
                <w:rFonts w:hint="eastAsia" w:ascii="宋体" w:hAnsi="宋体"/>
                <w:color w:val="000000"/>
                <w:sz w:val="18"/>
                <w:szCs w:val="18"/>
              </w:rPr>
              <w:t>（10）冲突管理与沟通</w:t>
            </w:r>
          </w:p>
        </w:tc>
        <w:tc>
          <w:tcPr>
            <w:tcW w:w="2482" w:type="dxa"/>
          </w:tcPr>
          <w:p w14:paraId="3A09CFA0">
            <w:pPr>
              <w:snapToGrid w:val="0"/>
              <w:jc w:val="left"/>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04185B7B">
            <w:pPr>
              <w:snapToGrid w:val="0"/>
              <w:jc w:val="left"/>
              <w:rPr>
                <w:rFonts w:ascii="宋体" w:hAnsi="宋体"/>
                <w:color w:val="000000"/>
                <w:sz w:val="18"/>
                <w:szCs w:val="18"/>
              </w:rPr>
            </w:pPr>
            <w:r>
              <w:rPr>
                <w:rFonts w:hint="eastAsia" w:ascii="宋体" w:hAnsi="宋体"/>
                <w:color w:val="000000"/>
                <w:sz w:val="18"/>
                <w:szCs w:val="18"/>
              </w:rPr>
              <w:t>（2）教学方法：坚持以学生为中心，结合讲授、任务驱动、游戏教学、实操演练等多种教学手段，同时融入课程思政，将立德树人贯穿始终。</w:t>
            </w:r>
          </w:p>
          <w:p w14:paraId="35B56EB3">
            <w:pPr>
              <w:snapToGrid w:val="0"/>
              <w:jc w:val="left"/>
              <w:rPr>
                <w:rFonts w:ascii="宋体" w:hAnsi="宋体"/>
                <w:color w:val="000000"/>
                <w:sz w:val="18"/>
                <w:szCs w:val="18"/>
              </w:rPr>
            </w:pPr>
            <w:r>
              <w:rPr>
                <w:rFonts w:hint="eastAsia" w:ascii="宋体" w:hAnsi="宋体"/>
                <w:color w:val="000000"/>
                <w:sz w:val="18"/>
                <w:szCs w:val="18"/>
              </w:rPr>
              <w:t>（3）师资要求：担任本课程的教师应该具备扎实的理论基础，具备缜密的逻辑思维能力和良好的语言表达能力。</w:t>
            </w:r>
          </w:p>
          <w:p w14:paraId="1D0F7116">
            <w:pPr>
              <w:snapToGrid w:val="0"/>
              <w:jc w:val="left"/>
              <w:rPr>
                <w:rFonts w:ascii="宋体" w:hAnsi="宋体"/>
                <w:color w:val="000000"/>
                <w:sz w:val="18"/>
                <w:szCs w:val="18"/>
              </w:rPr>
            </w:pPr>
            <w:r>
              <w:rPr>
                <w:rFonts w:hint="eastAsia" w:ascii="宋体" w:hAnsi="宋体"/>
                <w:color w:val="000000"/>
                <w:sz w:val="18"/>
                <w:szCs w:val="18"/>
              </w:rPr>
              <w:t>（4）课程考核：采用过程考核与结果考核相结合。过程考核占总成绩的50%，期末考核占总成绩的50%。</w:t>
            </w:r>
          </w:p>
        </w:tc>
      </w:tr>
    </w:tbl>
    <w:p w14:paraId="23B4D786">
      <w:pPr>
        <w:tabs>
          <w:tab w:val="left" w:pos="312"/>
        </w:tabs>
        <w:spacing w:line="440" w:lineRule="exact"/>
        <w:ind w:firstLine="420" w:firstLineChars="200"/>
        <w:rPr>
          <w:rFonts w:ascii="黑体" w:hAnsi="黑体" w:eastAsia="黑体"/>
          <w:color w:val="000000" w:themeColor="text1"/>
          <w:szCs w:val="21"/>
        </w:rPr>
      </w:pPr>
      <w:r>
        <w:rPr>
          <w:rFonts w:hint="eastAsia" w:ascii="黑体" w:hAnsi="黑体" w:eastAsia="黑体"/>
          <w:color w:val="000000" w:themeColor="text1"/>
          <w:szCs w:val="21"/>
        </w:rPr>
        <w:t>（四）公共基础选修课</w:t>
      </w:r>
    </w:p>
    <w:tbl>
      <w:tblPr>
        <w:tblStyle w:val="14"/>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820"/>
        <w:gridCol w:w="2430"/>
        <w:gridCol w:w="2452"/>
      </w:tblGrid>
      <w:tr w14:paraId="70A3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2" w:type="dxa"/>
            <w:vAlign w:val="center"/>
          </w:tcPr>
          <w:p w14:paraId="1348AF51">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课程名称</w:t>
            </w:r>
          </w:p>
        </w:tc>
        <w:tc>
          <w:tcPr>
            <w:tcW w:w="2820" w:type="dxa"/>
            <w:vAlign w:val="center"/>
          </w:tcPr>
          <w:p w14:paraId="51F3B839">
            <w:pPr>
              <w:adjustRightInd w:val="0"/>
              <w:snapToGrid w:val="0"/>
              <w:spacing w:line="276" w:lineRule="auto"/>
              <w:ind w:firstLine="360" w:firstLineChars="200"/>
              <w:jc w:val="center"/>
              <w:rPr>
                <w:rFonts w:ascii="宋体" w:hAnsi="宋体" w:cs="宋体"/>
                <w:sz w:val="18"/>
                <w:szCs w:val="18"/>
              </w:rPr>
            </w:pPr>
            <w:r>
              <w:rPr>
                <w:rFonts w:hint="eastAsia" w:ascii="宋体" w:hAnsi="宋体" w:cs="宋体"/>
                <w:sz w:val="18"/>
                <w:szCs w:val="18"/>
              </w:rPr>
              <w:t>课程目标</w:t>
            </w:r>
          </w:p>
        </w:tc>
        <w:tc>
          <w:tcPr>
            <w:tcW w:w="2430" w:type="dxa"/>
            <w:vAlign w:val="center"/>
          </w:tcPr>
          <w:p w14:paraId="256BEB9D">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课程内容</w:t>
            </w:r>
          </w:p>
        </w:tc>
        <w:tc>
          <w:tcPr>
            <w:tcW w:w="2452" w:type="dxa"/>
            <w:vAlign w:val="center"/>
          </w:tcPr>
          <w:p w14:paraId="3BB87695">
            <w:pPr>
              <w:adjustRightInd w:val="0"/>
              <w:snapToGrid w:val="0"/>
              <w:spacing w:line="276" w:lineRule="auto"/>
              <w:jc w:val="center"/>
              <w:rPr>
                <w:rFonts w:ascii="宋体" w:hAnsi="宋体" w:cs="宋体"/>
                <w:sz w:val="18"/>
                <w:szCs w:val="18"/>
              </w:rPr>
            </w:pPr>
            <w:r>
              <w:rPr>
                <w:rFonts w:hint="eastAsia" w:ascii="宋体" w:hAnsi="宋体" w:cs="宋体"/>
                <w:sz w:val="18"/>
                <w:szCs w:val="18"/>
              </w:rPr>
              <w:t>教学要求</w:t>
            </w:r>
          </w:p>
        </w:tc>
      </w:tr>
      <w:tr w14:paraId="1D28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Align w:val="center"/>
          </w:tcPr>
          <w:p w14:paraId="5BBE9A8F">
            <w:pPr>
              <w:snapToGrid w:val="0"/>
              <w:jc w:val="center"/>
              <w:rPr>
                <w:rFonts w:hint="eastAsia" w:ascii="宋体" w:hAnsi="宋体"/>
                <w:color w:val="000000"/>
                <w:sz w:val="18"/>
                <w:szCs w:val="18"/>
              </w:rPr>
            </w:pPr>
            <w:r>
              <w:rPr>
                <w:rFonts w:hint="eastAsia" w:ascii="宋体" w:hAnsi="宋体"/>
                <w:color w:val="000000"/>
                <w:sz w:val="18"/>
                <w:szCs w:val="18"/>
                <w:lang w:val="en-US" w:eastAsia="zh-CN"/>
              </w:rPr>
              <w:t>党史国史</w:t>
            </w:r>
          </w:p>
        </w:tc>
        <w:tc>
          <w:tcPr>
            <w:tcW w:w="2820" w:type="dxa"/>
            <w:vAlign w:val="center"/>
          </w:tcPr>
          <w:p w14:paraId="25AFBE4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40D40C4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引导学生增强大学生的道路自信、理论自信、制度自信、文化自信；提升大学生的爱党、爱国情操。做到知史爱党、知史爱国，不断激发起主动承担中华民族伟大复兴中国梦历史使命的精神动力。</w:t>
            </w:r>
          </w:p>
          <w:p w14:paraId="03AC888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382218B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6D4D0B4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099AA0D">
            <w:pPr>
              <w:snapToGrid w:val="0"/>
              <w:rPr>
                <w:rFonts w:hint="eastAsia" w:ascii="宋体" w:hAnsi="宋体"/>
                <w:color w:val="000000"/>
                <w:sz w:val="18"/>
                <w:szCs w:val="18"/>
              </w:rPr>
            </w:pPr>
            <w:r>
              <w:rPr>
                <w:rFonts w:hint="eastAsia" w:ascii="宋体" w:hAnsi="宋体"/>
                <w:color w:val="000000"/>
                <w:sz w:val="18"/>
                <w:szCs w:val="18"/>
                <w:lang w:val="en-US" w:eastAsia="zh-CN"/>
              </w:rPr>
              <w:t>培养学生的历史观、大局观，从历史中得到启迪和智慧，受到激励与鼓舞，激发爱国热情和民族自豪感、自信心，增强社会主义信念。</w:t>
            </w:r>
          </w:p>
        </w:tc>
        <w:tc>
          <w:tcPr>
            <w:tcW w:w="2430" w:type="dxa"/>
            <w:vAlign w:val="center"/>
          </w:tcPr>
          <w:p w14:paraId="1A2AADD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（1）责任在肩：历史选择了中国共产党；</w:t>
            </w:r>
          </w:p>
          <w:p w14:paraId="06211C6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（2）浴血奋斗：夺取新民主主义革命的胜利；</w:t>
            </w:r>
          </w:p>
          <w:p w14:paraId="73593D3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（3）开天辟地：新中国成立和社会主义探索；</w:t>
            </w:r>
          </w:p>
          <w:p w14:paraId="2A5AE3F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（4）创造辉煌：改革开放的伟大实践和成就；</w:t>
            </w:r>
          </w:p>
          <w:p w14:paraId="2A404C84">
            <w:pPr>
              <w:snapToGrid w:val="0"/>
              <w:rPr>
                <w:rFonts w:hint="eastAsia" w:ascii="宋体" w:hAnsi="宋体"/>
                <w:color w:val="000000"/>
                <w:sz w:val="18"/>
                <w:szCs w:val="18"/>
              </w:rPr>
            </w:pPr>
            <w:r>
              <w:rPr>
                <w:rFonts w:hint="eastAsia" w:ascii="宋体" w:hAnsi="宋体"/>
                <w:color w:val="000000"/>
                <w:sz w:val="18"/>
                <w:szCs w:val="18"/>
                <w:lang w:val="en-US" w:eastAsia="zh-CN"/>
              </w:rPr>
              <w:t>（5）长风破浪：走进中国特色社会主义新时代。</w:t>
            </w:r>
          </w:p>
        </w:tc>
        <w:tc>
          <w:tcPr>
            <w:tcW w:w="2452" w:type="dxa"/>
            <w:vAlign w:val="center"/>
          </w:tcPr>
          <w:p w14:paraId="2105947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w:t>
            </w:r>
            <w:r>
              <w:rPr>
                <w:rFonts w:hint="eastAsia" w:ascii="宋体" w:hAnsi="宋体"/>
                <w:color w:val="000000"/>
                <w:sz w:val="18"/>
                <w:szCs w:val="18"/>
              </w:rPr>
              <w:t>教学条件</w:t>
            </w:r>
            <w:r>
              <w:rPr>
                <w:rFonts w:hint="eastAsia" w:ascii="宋体" w:hAnsi="宋体"/>
                <w:color w:val="000000"/>
                <w:sz w:val="18"/>
                <w:szCs w:val="18"/>
                <w:lang w:val="en-US" w:eastAsia="zh-CN"/>
              </w:rPr>
              <w:t>：充分运用信息技术与手段优化教学过程与教学管理。</w:t>
            </w:r>
          </w:p>
          <w:p w14:paraId="2CE6AE3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（2）教学方法：讲授法、问题探究法、头脑风暴法、翻转课堂法。</w:t>
            </w:r>
          </w:p>
          <w:p w14:paraId="52271D0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（3）师资要求：具有相关专业研究生以上学历或讲师以上职称。</w:t>
            </w:r>
          </w:p>
          <w:p w14:paraId="2CABC15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（4）考核要求：采用“过程考核+终结性考核”的方式评定成绩。平时过程性考核成绩根据考勤、课堂表现情况、线上学习情况等评定，占总成绩的40%；期末考试占总成绩的60%。</w:t>
            </w:r>
          </w:p>
          <w:p w14:paraId="2E7DE1BF">
            <w:pPr>
              <w:snapToGrid w:val="0"/>
              <w:rPr>
                <w:rFonts w:hint="eastAsia" w:ascii="宋体" w:hAnsi="宋体"/>
                <w:color w:val="000000"/>
                <w:sz w:val="18"/>
                <w:szCs w:val="18"/>
              </w:rPr>
            </w:pPr>
          </w:p>
        </w:tc>
      </w:tr>
      <w:tr w14:paraId="5BB54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Align w:val="center"/>
          </w:tcPr>
          <w:p w14:paraId="2F7A6AF0">
            <w:pPr>
              <w:snapToGrid w:val="0"/>
              <w:jc w:val="center"/>
              <w:rPr>
                <w:rFonts w:hint="eastAsia" w:ascii="宋体" w:hAnsi="宋体"/>
                <w:color w:val="000000"/>
                <w:sz w:val="18"/>
                <w:szCs w:val="18"/>
              </w:rPr>
            </w:pPr>
            <w:r>
              <w:rPr>
                <w:rFonts w:hint="eastAsia" w:ascii="宋体" w:hAnsi="宋体"/>
                <w:color w:val="000000"/>
                <w:sz w:val="18"/>
                <w:szCs w:val="18"/>
                <w:lang w:val="en-US" w:eastAsia="zh-CN"/>
              </w:rPr>
              <w:t>美育教育</w:t>
            </w:r>
          </w:p>
        </w:tc>
        <w:tc>
          <w:tcPr>
            <w:tcW w:w="2820" w:type="dxa"/>
            <w:vAlign w:val="top"/>
          </w:tcPr>
          <w:p w14:paraId="014EE9E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047F5A5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理解和掌握美学的基本理论知识，能运用美学原理知识分析和鉴赏生活、自然和艺术领域的审美现象，并能树立正确、健康、进步的审美观，提高人文素养。</w:t>
            </w:r>
          </w:p>
          <w:p w14:paraId="20C5B6C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6065322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正确认识美的性质和特征、生活和美学的关系、人生和美的关系。准确理解美学的重要概念，如真、善、美、自然美、社会美、形式美、优美、崇高、喜剧、悲剧、美感、审美心理等。</w:t>
            </w:r>
          </w:p>
          <w:p w14:paraId="11D96DD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077EA28E">
            <w:pPr>
              <w:snapToGrid w:val="0"/>
              <w:rPr>
                <w:rFonts w:hint="eastAsia" w:ascii="宋体" w:hAnsi="宋体"/>
                <w:color w:val="000000"/>
                <w:sz w:val="18"/>
                <w:szCs w:val="18"/>
              </w:rPr>
            </w:pPr>
            <w:r>
              <w:rPr>
                <w:rFonts w:hint="eastAsia" w:ascii="宋体" w:hAnsi="宋体"/>
                <w:color w:val="000000"/>
                <w:sz w:val="18"/>
                <w:szCs w:val="18"/>
                <w:lang w:val="en-US" w:eastAsia="zh-CN"/>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tc>
        <w:tc>
          <w:tcPr>
            <w:tcW w:w="2430" w:type="dxa"/>
            <w:vAlign w:val="top"/>
          </w:tcPr>
          <w:p w14:paraId="19DE718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（1）概述与美的本质和特性讨论；</w:t>
            </w:r>
          </w:p>
          <w:p w14:paraId="4CC0720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（2）美的表现领域（自然美、社会美、人性美）；</w:t>
            </w:r>
          </w:p>
          <w:p w14:paraId="2113FD4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（3）美的范畴：崇高美、优美、滑稽美及其他；</w:t>
            </w:r>
          </w:p>
          <w:p w14:paraId="279D5B5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（4）艺术的本质、特征和艺（5）术鉴赏的原理;</w:t>
            </w:r>
          </w:p>
          <w:p w14:paraId="579E046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艺术鉴赏之一：绘画与雕塑；</w:t>
            </w:r>
          </w:p>
          <w:p w14:paraId="3BC1992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艺术鉴赏之二：建筑与园林；</w:t>
            </w:r>
          </w:p>
          <w:p w14:paraId="4AD71A8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艺术鉴赏之三：音乐与舞蹈；</w:t>
            </w:r>
          </w:p>
          <w:p w14:paraId="01F18825">
            <w:pPr>
              <w:snapToGrid w:val="0"/>
              <w:rPr>
                <w:rFonts w:hint="eastAsia" w:ascii="宋体" w:hAnsi="宋体"/>
                <w:color w:val="000000"/>
                <w:sz w:val="18"/>
                <w:szCs w:val="18"/>
              </w:rPr>
            </w:pPr>
            <w:r>
              <w:rPr>
                <w:rFonts w:hint="eastAsia" w:ascii="宋体" w:hAnsi="宋体"/>
                <w:color w:val="000000"/>
                <w:sz w:val="18"/>
                <w:szCs w:val="18"/>
                <w:lang w:val="en-US" w:eastAsia="zh-CN"/>
              </w:rPr>
              <w:t>艺术鉴赏之四：电影与戏剧。</w:t>
            </w:r>
          </w:p>
        </w:tc>
        <w:tc>
          <w:tcPr>
            <w:tcW w:w="2452" w:type="dxa"/>
            <w:vAlign w:val="top"/>
          </w:tcPr>
          <w:p w14:paraId="7C619D9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（1）教学条件：授课主要在多媒体教室进行，多媒体投影清晰；根据课程特色，使用多媒体完成部分教学,并逐步完善教学课件、电子教案、教学大纲等教学软件资源,能进行线上教学。</w:t>
            </w:r>
          </w:p>
          <w:p w14:paraId="14944DE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（2）教学方法：以工作任务为中心的项目化教学，通过理论教学、实作等多种途径，给学生提供丰富的实践机会，实现学习实践一体化。</w:t>
            </w:r>
          </w:p>
          <w:p w14:paraId="2E1AFD5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（3）师资要求：授课教师必须系统的学习过美学课程，有一定的理论基础，能结合不同专业的特色，逐步提升学生审美能力，得到美的启发。</w:t>
            </w:r>
          </w:p>
          <w:p w14:paraId="10C66908">
            <w:pPr>
              <w:snapToGrid w:val="0"/>
              <w:rPr>
                <w:rFonts w:hint="eastAsia" w:ascii="宋体" w:hAnsi="宋体"/>
                <w:color w:val="000000"/>
                <w:sz w:val="18"/>
                <w:szCs w:val="18"/>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54DFD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Align w:val="center"/>
          </w:tcPr>
          <w:p w14:paraId="467338CE">
            <w:pPr>
              <w:snapToGrid w:val="0"/>
              <w:jc w:val="center"/>
              <w:rPr>
                <w:rFonts w:hint="eastAsia" w:ascii="宋体" w:hAnsi="宋体"/>
                <w:color w:val="000000"/>
                <w:sz w:val="18"/>
                <w:szCs w:val="18"/>
              </w:rPr>
            </w:pPr>
            <w:r>
              <w:rPr>
                <w:rFonts w:hint="eastAsia" w:ascii="宋体" w:hAnsi="宋体"/>
                <w:color w:val="000000"/>
                <w:sz w:val="18"/>
                <w:szCs w:val="18"/>
                <w:lang w:val="en-US" w:eastAsia="zh-CN"/>
              </w:rPr>
              <w:t>职业素养</w:t>
            </w:r>
          </w:p>
        </w:tc>
        <w:tc>
          <w:tcPr>
            <w:tcW w:w="2820" w:type="dxa"/>
            <w:vAlign w:val="center"/>
          </w:tcPr>
          <w:p w14:paraId="061E604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4AE8C3E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1D2B1F3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4C5FE7E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理解并掌握职业素养的内涵、重要性；掌握职场沟通的方法与技巧；了解职业行为规范习惯的重要性，掌握职场礼仪规范；了解个人与团队的关系，掌握团队合作的方法；学习时间管理的方法；掌握科学健康的生活及心理，了解学习管理的重要性、流程和方法；了解创新能力的结构体系及创新方法。</w:t>
            </w:r>
          </w:p>
          <w:p w14:paraId="114E38A8">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488E5834">
            <w:pPr>
              <w:snapToGrid w:val="0"/>
              <w:rPr>
                <w:rFonts w:hint="eastAsia" w:ascii="宋体" w:hAnsi="宋体"/>
                <w:color w:val="000000"/>
                <w:sz w:val="18"/>
                <w:szCs w:val="18"/>
              </w:rPr>
            </w:pPr>
            <w:r>
              <w:rPr>
                <w:rFonts w:hint="eastAsia" w:ascii="宋体" w:hAnsi="宋体"/>
                <w:color w:val="000000"/>
                <w:sz w:val="18"/>
                <w:szCs w:val="18"/>
                <w:lang w:val="en-US" w:eastAsia="zh-CN"/>
              </w:rPr>
              <w:t>提升学习能力、交流沟通能力、团队协作能力、实践能力、创造能力、就业能力、创业能力等职业能力。</w:t>
            </w:r>
          </w:p>
        </w:tc>
        <w:tc>
          <w:tcPr>
            <w:tcW w:w="2430" w:type="dxa"/>
            <w:vAlign w:val="center"/>
          </w:tcPr>
          <w:p w14:paraId="7A05518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（1）职业素养的内涵、重要性、践行方法；</w:t>
            </w:r>
          </w:p>
          <w:p w14:paraId="7A0A37E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（2）职场沟通的方式、原则和技巧；</w:t>
            </w:r>
          </w:p>
          <w:p w14:paraId="7669D72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（3）职业礼仪的重要性，职场中仪容、仪表、仪态礼仪规范、人际交往礼仪规范；</w:t>
            </w:r>
          </w:p>
          <w:p w14:paraId="04BAC25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（4）个人与团队的关系、团队精神的内涵及培育；团队合作的方法；</w:t>
            </w:r>
          </w:p>
          <w:p w14:paraId="2B557C3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（5）认知时间管理的重要性，时间管理的原则和方法； </w:t>
            </w:r>
          </w:p>
          <w:p w14:paraId="686A4A9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（6）科学的健康概念，生活和心理健康管理；</w:t>
            </w:r>
          </w:p>
          <w:p w14:paraId="522908E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（7）学习管理的重要性、流程和方法；</w:t>
            </w:r>
          </w:p>
          <w:p w14:paraId="2DB639DE">
            <w:pPr>
              <w:snapToGrid w:val="0"/>
              <w:rPr>
                <w:rFonts w:hint="eastAsia" w:ascii="宋体" w:hAnsi="宋体"/>
                <w:color w:val="000000"/>
                <w:sz w:val="18"/>
                <w:szCs w:val="18"/>
              </w:rPr>
            </w:pPr>
            <w:r>
              <w:rPr>
                <w:rFonts w:hint="eastAsia" w:ascii="宋体" w:hAnsi="宋体"/>
                <w:color w:val="000000"/>
                <w:sz w:val="18"/>
                <w:szCs w:val="18"/>
                <w:lang w:val="en-US" w:eastAsia="zh-CN"/>
              </w:rPr>
              <w:t>（8）创新能力的结构体系、创新思维的培育、创新能力的培养。</w:t>
            </w:r>
          </w:p>
        </w:tc>
        <w:tc>
          <w:tcPr>
            <w:tcW w:w="2452" w:type="dxa"/>
            <w:vAlign w:val="top"/>
          </w:tcPr>
          <w:p w14:paraId="4490F1B5">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（1）教学条件：能使用线上资源进行理论教学，在顶岗实习单位进行实践教学。</w:t>
            </w:r>
          </w:p>
          <w:p w14:paraId="4FC8FAAD">
            <w:pPr>
              <w:snapToGrid w:val="0"/>
              <w:jc w:val="both"/>
              <w:rPr>
                <w:rFonts w:hint="default" w:ascii="宋体" w:hAnsi="宋体"/>
                <w:color w:val="000000"/>
                <w:sz w:val="18"/>
                <w:szCs w:val="18"/>
                <w:lang w:val="en-US" w:eastAsia="zh-CN"/>
              </w:rPr>
            </w:pPr>
            <w:r>
              <w:rPr>
                <w:rFonts w:hint="eastAsia" w:ascii="宋体" w:hAnsi="宋体"/>
                <w:color w:val="000000"/>
                <w:sz w:val="18"/>
                <w:szCs w:val="18"/>
                <w:lang w:val="en-US" w:eastAsia="zh-CN"/>
              </w:rPr>
              <w:t>（2）教学方法：在顶岗实践中完成，企业导师和学校教师相结合的教学方式，学校教师以线上答疑解惑指导为主，企业导师以工作实践指导为主。</w:t>
            </w:r>
          </w:p>
          <w:p w14:paraId="46981FC2">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（3）师资要求：企业导师、学校教师具备良好的职业修养，具备爱岗敬业、精益求精、严谨细致的工作作风。</w:t>
            </w:r>
          </w:p>
          <w:p w14:paraId="41F8DD4F">
            <w:pPr>
              <w:snapToGrid w:val="0"/>
              <w:jc w:val="both"/>
              <w:rPr>
                <w:rFonts w:hint="eastAsia" w:ascii="宋体" w:hAnsi="宋体"/>
                <w:color w:val="000000"/>
                <w:sz w:val="18"/>
                <w:szCs w:val="18"/>
              </w:rPr>
            </w:pPr>
            <w:r>
              <w:rPr>
                <w:rFonts w:hint="eastAsia" w:ascii="宋体" w:hAnsi="宋体"/>
                <w:color w:val="000000"/>
                <w:sz w:val="18"/>
                <w:szCs w:val="18"/>
                <w:lang w:val="en-US" w:eastAsia="zh-CN"/>
              </w:rPr>
              <w:t>（4）课程考核：采用过程考核为主。</w:t>
            </w:r>
          </w:p>
        </w:tc>
      </w:tr>
    </w:tbl>
    <w:p w14:paraId="25A97530">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七、教学进程安排</w:t>
      </w:r>
    </w:p>
    <w:p w14:paraId="66725337">
      <w:pPr>
        <w:tabs>
          <w:tab w:val="left" w:pos="312"/>
        </w:tabs>
        <w:spacing w:line="440" w:lineRule="exact"/>
        <w:ind w:left="420"/>
        <w:rPr>
          <w:rFonts w:ascii="黑体" w:hAnsi="黑体" w:eastAsia="黑体"/>
          <w:color w:val="000000" w:themeColor="text1"/>
          <w:szCs w:val="21"/>
        </w:rPr>
      </w:pPr>
      <w:r>
        <w:rPr>
          <w:rFonts w:hint="eastAsia" w:ascii="黑体" w:hAnsi="黑体" w:eastAsia="黑体"/>
          <w:color w:val="000000" w:themeColor="text1"/>
          <w:szCs w:val="21"/>
        </w:rPr>
        <w:t>（一）教学周数安排</w:t>
      </w:r>
    </w:p>
    <w:tbl>
      <w:tblPr>
        <w:tblStyle w:val="13"/>
        <w:tblW w:w="7969" w:type="dxa"/>
        <w:jc w:val="center"/>
        <w:tblLayout w:type="fixed"/>
        <w:tblCellMar>
          <w:top w:w="15" w:type="dxa"/>
          <w:left w:w="15" w:type="dxa"/>
          <w:bottom w:w="15" w:type="dxa"/>
          <w:right w:w="15" w:type="dxa"/>
        </w:tblCellMar>
      </w:tblPr>
      <w:tblGrid>
        <w:gridCol w:w="1267"/>
        <w:gridCol w:w="974"/>
        <w:gridCol w:w="717"/>
        <w:gridCol w:w="665"/>
        <w:gridCol w:w="665"/>
        <w:gridCol w:w="665"/>
        <w:gridCol w:w="567"/>
        <w:gridCol w:w="567"/>
        <w:gridCol w:w="567"/>
        <w:gridCol w:w="567"/>
        <w:gridCol w:w="748"/>
      </w:tblGrid>
      <w:tr w14:paraId="1A7594E3">
        <w:tblPrEx>
          <w:tblCellMar>
            <w:top w:w="15" w:type="dxa"/>
            <w:left w:w="15" w:type="dxa"/>
            <w:bottom w:w="15" w:type="dxa"/>
            <w:right w:w="15" w:type="dxa"/>
          </w:tblCellMar>
        </w:tblPrEx>
        <w:trPr>
          <w:trHeight w:val="567" w:hRule="atLeast"/>
          <w:jc w:val="center"/>
        </w:trPr>
        <w:tc>
          <w:tcPr>
            <w:tcW w:w="1267" w:type="dxa"/>
            <w:tcBorders>
              <w:top w:val="single" w:color="000000" w:sz="12" w:space="0"/>
              <w:left w:val="single" w:color="000000" w:sz="12" w:space="0"/>
              <w:right w:val="single" w:color="000000" w:sz="4" w:space="0"/>
            </w:tcBorders>
            <w:vAlign w:val="center"/>
          </w:tcPr>
          <w:p w14:paraId="75421775">
            <w:pPr>
              <w:spacing w:line="360" w:lineRule="exact"/>
              <w:jc w:val="center"/>
              <w:rPr>
                <w:color w:val="000000" w:themeColor="text1"/>
                <w:sz w:val="18"/>
                <w:szCs w:val="18"/>
              </w:rPr>
            </w:pPr>
            <w:r>
              <w:rPr>
                <w:color w:val="000000" w:themeColor="text1"/>
                <w:sz w:val="18"/>
                <w:szCs w:val="18"/>
              </w:rPr>
              <w:pict>
                <v:line id="_x0000_s1026" o:spid="_x0000_s1026" o:spt="20" style="position:absolute;left:0pt;margin-left:0.15pt;margin-top:-1.4pt;height:57.45pt;width:34.7pt;z-index:251661312;mso-width-relative:page;mso-height-relative:page;" coordsize="21600,21600" o:gfxdata="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3HVDNQAAAAGAQAADwAAAAAAAAAB&#10;ACAAAAAiAAAAZHJzL2Rvd25yZXYueG1sUEsBAhQAFAAAAAgAh07iQFA5GwfbAQAAngMAAA4AAAAA&#10;AAAAAQAgAAAAIwEAAGRycy9lMm9Eb2MueG1sUEsFBgAAAAAGAAYAWQEAAHAFAAAAAA==&#10;">
                  <v:path arrowok="t"/>
                  <v:fill focussize="0,0"/>
                  <v:stroke/>
                  <v:imagedata o:title=""/>
                  <o:lock v:ext="edit"/>
                </v:line>
              </w:pict>
            </w:r>
            <w:r>
              <w:rPr>
                <w:color w:val="000000" w:themeColor="text1"/>
                <w:sz w:val="18"/>
                <w:szCs w:val="18"/>
              </w:rPr>
              <w:pict>
                <v:line id="_x0000_s1027" o:spid="_x0000_s1027" o:spt="20" style="position:absolute;left:0pt;margin-left:0pt;margin-top:-2.15pt;height:32.25pt;width:62.5pt;z-index:251660288;mso-width-relative:page;mso-height-relative:page;"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Wf+P1QAAAAYBAAAPAAAAAAAA&#10;AAEAIAAAACIAAABkcnMvZG93bnJldi54bWxQSwECFAAUAAAACACHTuJAUz7x89wBAACcAwAADgAA&#10;AAAAAAABACAAAAAkAQAAZHJzL2Uyb0RvYy54bWxQSwUGAAAAAAYABgBZAQAAcgUAAAAA&#10;">
                  <v:path arrowok="t"/>
                  <v:fill focussize="0,0"/>
                  <v:stroke/>
                  <v:imagedata o:title=""/>
                  <o:lock v:ext="edit"/>
                </v:line>
              </w:pict>
            </w:r>
            <w:r>
              <w:rPr>
                <w:color w:val="000000" w:themeColor="text1"/>
                <w:sz w:val="18"/>
                <w:szCs w:val="18"/>
              </w:rPr>
              <w:t xml:space="preserve">     项目</w:t>
            </w:r>
          </w:p>
          <w:p w14:paraId="5F45A96A">
            <w:pPr>
              <w:spacing w:line="360" w:lineRule="exact"/>
              <w:ind w:firstLine="360" w:firstLineChars="200"/>
              <w:rPr>
                <w:color w:val="000000" w:themeColor="text1"/>
                <w:sz w:val="18"/>
                <w:szCs w:val="18"/>
              </w:rPr>
            </w:pPr>
            <w:r>
              <w:rPr>
                <w:color w:val="000000" w:themeColor="text1"/>
                <w:sz w:val="18"/>
                <w:szCs w:val="18"/>
              </w:rPr>
              <w:t>周数</w:t>
            </w:r>
          </w:p>
          <w:p w14:paraId="008CD8A1">
            <w:pPr>
              <w:spacing w:line="360" w:lineRule="exact"/>
              <w:rPr>
                <w:color w:val="000000" w:themeColor="text1"/>
                <w:sz w:val="18"/>
                <w:szCs w:val="18"/>
              </w:rPr>
            </w:pPr>
            <w:r>
              <w:rPr>
                <w:color w:val="000000" w:themeColor="text1"/>
                <w:sz w:val="18"/>
                <w:szCs w:val="18"/>
              </w:rPr>
              <w:t>学期</w:t>
            </w:r>
          </w:p>
        </w:tc>
        <w:tc>
          <w:tcPr>
            <w:tcW w:w="974" w:type="dxa"/>
            <w:tcBorders>
              <w:top w:val="single" w:color="000000" w:sz="12" w:space="0"/>
              <w:left w:val="single" w:color="000000" w:sz="4" w:space="0"/>
              <w:bottom w:val="single" w:color="000000" w:sz="4" w:space="0"/>
              <w:right w:val="single" w:color="000000" w:sz="4" w:space="0"/>
            </w:tcBorders>
            <w:vAlign w:val="center"/>
          </w:tcPr>
          <w:p w14:paraId="5A013CCA">
            <w:pPr>
              <w:spacing w:line="360" w:lineRule="exact"/>
              <w:jc w:val="center"/>
              <w:rPr>
                <w:color w:val="000000" w:themeColor="text1"/>
                <w:sz w:val="18"/>
                <w:szCs w:val="18"/>
              </w:rPr>
            </w:pPr>
            <w:r>
              <w:rPr>
                <w:rFonts w:hint="eastAsia"/>
                <w:color w:val="000000" w:themeColor="text1"/>
                <w:sz w:val="18"/>
                <w:szCs w:val="18"/>
              </w:rPr>
              <w:t>军事技能</w:t>
            </w:r>
          </w:p>
        </w:tc>
        <w:tc>
          <w:tcPr>
            <w:tcW w:w="717" w:type="dxa"/>
            <w:tcBorders>
              <w:top w:val="single" w:color="000000" w:sz="12" w:space="0"/>
              <w:left w:val="single" w:color="000000" w:sz="4" w:space="0"/>
              <w:bottom w:val="single" w:color="000000" w:sz="4" w:space="0"/>
              <w:right w:val="single" w:color="000000" w:sz="4" w:space="0"/>
            </w:tcBorders>
            <w:vAlign w:val="center"/>
          </w:tcPr>
          <w:p w14:paraId="38FD34C8">
            <w:pPr>
              <w:spacing w:line="360" w:lineRule="exact"/>
              <w:jc w:val="center"/>
              <w:rPr>
                <w:color w:val="000000" w:themeColor="text1"/>
                <w:sz w:val="18"/>
                <w:szCs w:val="18"/>
              </w:rPr>
            </w:pPr>
            <w:r>
              <w:rPr>
                <w:rFonts w:hint="eastAsia"/>
                <w:color w:val="000000" w:themeColor="text1"/>
                <w:sz w:val="18"/>
                <w:szCs w:val="18"/>
              </w:rPr>
              <w:t>课堂</w:t>
            </w:r>
            <w:r>
              <w:rPr>
                <w:color w:val="000000" w:themeColor="text1"/>
                <w:sz w:val="18"/>
                <w:szCs w:val="18"/>
              </w:rPr>
              <w:t xml:space="preserve">     教学</w:t>
            </w:r>
          </w:p>
        </w:tc>
        <w:tc>
          <w:tcPr>
            <w:tcW w:w="665" w:type="dxa"/>
            <w:tcBorders>
              <w:top w:val="single" w:color="000000" w:sz="12" w:space="0"/>
              <w:left w:val="single" w:color="auto" w:sz="4" w:space="0"/>
              <w:bottom w:val="single" w:color="000000" w:sz="4" w:space="0"/>
              <w:right w:val="single" w:color="auto" w:sz="4" w:space="0"/>
            </w:tcBorders>
            <w:vAlign w:val="center"/>
          </w:tcPr>
          <w:p w14:paraId="487979E6">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实训</w:t>
            </w:r>
          </w:p>
        </w:tc>
        <w:tc>
          <w:tcPr>
            <w:tcW w:w="665" w:type="dxa"/>
            <w:tcBorders>
              <w:top w:val="single" w:color="000000" w:sz="12" w:space="0"/>
              <w:left w:val="single" w:color="auto" w:sz="4" w:space="0"/>
              <w:bottom w:val="single" w:color="000000" w:sz="4" w:space="0"/>
              <w:right w:val="single" w:color="auto" w:sz="4" w:space="0"/>
            </w:tcBorders>
            <w:vAlign w:val="center"/>
          </w:tcPr>
          <w:p w14:paraId="3E5EA892">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认识</w:t>
            </w:r>
          </w:p>
          <w:p w14:paraId="20478B48">
            <w:pPr>
              <w:spacing w:line="360" w:lineRule="exact"/>
              <w:jc w:val="center"/>
              <w:rPr>
                <w:color w:val="000000" w:themeColor="text1"/>
                <w:sz w:val="18"/>
                <w:szCs w:val="18"/>
              </w:rPr>
            </w:pPr>
            <w:r>
              <w:rPr>
                <w:rFonts w:hint="eastAsia"/>
                <w:color w:val="000000" w:themeColor="text1"/>
                <w:sz w:val="18"/>
                <w:szCs w:val="18"/>
              </w:rPr>
              <w:t>实习</w:t>
            </w:r>
          </w:p>
        </w:tc>
        <w:tc>
          <w:tcPr>
            <w:tcW w:w="665" w:type="dxa"/>
            <w:tcBorders>
              <w:top w:val="single" w:color="000000" w:sz="12" w:space="0"/>
              <w:left w:val="single" w:color="auto" w:sz="4" w:space="0"/>
              <w:bottom w:val="single" w:color="000000" w:sz="4" w:space="0"/>
              <w:right w:val="single" w:color="000000" w:sz="4" w:space="0"/>
            </w:tcBorders>
            <w:vAlign w:val="center"/>
          </w:tcPr>
          <w:p w14:paraId="4713E1C1">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岗位</w:t>
            </w:r>
          </w:p>
          <w:p w14:paraId="6AC9106C">
            <w:pPr>
              <w:spacing w:line="360" w:lineRule="exact"/>
              <w:jc w:val="center"/>
              <w:rPr>
                <w:color w:val="000000" w:themeColor="text1"/>
                <w:sz w:val="18"/>
                <w:szCs w:val="18"/>
              </w:rPr>
            </w:pPr>
            <w:r>
              <w:rPr>
                <w:color w:val="000000" w:themeColor="text1"/>
                <w:sz w:val="18"/>
                <w:szCs w:val="18"/>
              </w:rPr>
              <w:t>实习</w:t>
            </w:r>
          </w:p>
        </w:tc>
        <w:tc>
          <w:tcPr>
            <w:tcW w:w="567" w:type="dxa"/>
            <w:tcBorders>
              <w:top w:val="single" w:color="000000" w:sz="12" w:space="0"/>
              <w:left w:val="single" w:color="000000" w:sz="4" w:space="0"/>
              <w:bottom w:val="single" w:color="000000" w:sz="4" w:space="0"/>
              <w:right w:val="single" w:color="000000" w:sz="4" w:space="0"/>
            </w:tcBorders>
            <w:vAlign w:val="center"/>
          </w:tcPr>
          <w:p w14:paraId="644D3A5C">
            <w:pPr>
              <w:spacing w:line="360" w:lineRule="exact"/>
              <w:jc w:val="center"/>
              <w:rPr>
                <w:color w:val="000000" w:themeColor="text1"/>
                <w:sz w:val="18"/>
                <w:szCs w:val="18"/>
              </w:rPr>
            </w:pPr>
            <w:r>
              <w:rPr>
                <w:color w:val="000000" w:themeColor="text1"/>
                <w:sz w:val="18"/>
                <w:szCs w:val="18"/>
              </w:rPr>
              <w:t xml:space="preserve">毕业      </w:t>
            </w:r>
            <w:r>
              <w:rPr>
                <w:rFonts w:hint="eastAsia"/>
                <w:color w:val="000000" w:themeColor="text1"/>
                <w:sz w:val="18"/>
                <w:szCs w:val="18"/>
              </w:rPr>
              <w:t>设计</w:t>
            </w:r>
          </w:p>
        </w:tc>
        <w:tc>
          <w:tcPr>
            <w:tcW w:w="567" w:type="dxa"/>
            <w:tcBorders>
              <w:top w:val="single" w:color="000000" w:sz="12" w:space="0"/>
              <w:left w:val="single" w:color="000000" w:sz="4" w:space="0"/>
              <w:bottom w:val="single" w:color="000000" w:sz="4" w:space="0"/>
              <w:right w:val="single" w:color="000000" w:sz="4" w:space="0"/>
            </w:tcBorders>
            <w:vAlign w:val="center"/>
          </w:tcPr>
          <w:p w14:paraId="48EBAD1A">
            <w:pPr>
              <w:spacing w:line="360" w:lineRule="exact"/>
              <w:jc w:val="center"/>
              <w:rPr>
                <w:color w:val="000000" w:themeColor="text1"/>
                <w:sz w:val="18"/>
                <w:szCs w:val="18"/>
              </w:rPr>
            </w:pPr>
            <w:r>
              <w:rPr>
                <w:rFonts w:hint="eastAsia"/>
                <w:color w:val="000000" w:themeColor="text1"/>
                <w:sz w:val="18"/>
                <w:szCs w:val="18"/>
              </w:rPr>
              <w:t>毕业教育</w:t>
            </w:r>
          </w:p>
        </w:tc>
        <w:tc>
          <w:tcPr>
            <w:tcW w:w="567" w:type="dxa"/>
            <w:tcBorders>
              <w:top w:val="single" w:color="000000" w:sz="12" w:space="0"/>
              <w:left w:val="single" w:color="000000" w:sz="4" w:space="0"/>
              <w:bottom w:val="single" w:color="000000" w:sz="4" w:space="0"/>
              <w:right w:val="single" w:color="000000" w:sz="4" w:space="0"/>
            </w:tcBorders>
            <w:vAlign w:val="center"/>
          </w:tcPr>
          <w:p w14:paraId="5473A4CE">
            <w:pPr>
              <w:spacing w:line="360" w:lineRule="exact"/>
              <w:jc w:val="center"/>
              <w:rPr>
                <w:color w:val="000000" w:themeColor="text1"/>
                <w:sz w:val="18"/>
                <w:szCs w:val="18"/>
              </w:rPr>
            </w:pPr>
            <w:r>
              <w:rPr>
                <w:rFonts w:hint="eastAsia"/>
                <w:color w:val="000000" w:themeColor="text1"/>
                <w:sz w:val="18"/>
                <w:szCs w:val="18"/>
              </w:rPr>
              <w:t>机</w:t>
            </w:r>
          </w:p>
          <w:p w14:paraId="7742AFD8">
            <w:pPr>
              <w:spacing w:line="360" w:lineRule="exact"/>
              <w:jc w:val="center"/>
              <w:rPr>
                <w:color w:val="000000" w:themeColor="text1"/>
                <w:sz w:val="18"/>
                <w:szCs w:val="18"/>
              </w:rPr>
            </w:pPr>
            <w:r>
              <w:rPr>
                <w:rFonts w:hint="eastAsia"/>
                <w:color w:val="000000" w:themeColor="text1"/>
                <w:sz w:val="18"/>
                <w:szCs w:val="18"/>
              </w:rPr>
              <w:t>动</w:t>
            </w:r>
          </w:p>
        </w:tc>
        <w:tc>
          <w:tcPr>
            <w:tcW w:w="567" w:type="dxa"/>
            <w:tcBorders>
              <w:top w:val="single" w:color="000000" w:sz="12" w:space="0"/>
              <w:left w:val="single" w:color="000000" w:sz="4" w:space="0"/>
              <w:bottom w:val="single" w:color="000000" w:sz="4" w:space="0"/>
              <w:right w:val="single" w:color="000000" w:sz="4" w:space="0"/>
            </w:tcBorders>
            <w:vAlign w:val="center"/>
          </w:tcPr>
          <w:p w14:paraId="4484D467">
            <w:pPr>
              <w:spacing w:line="360" w:lineRule="exact"/>
              <w:jc w:val="center"/>
              <w:rPr>
                <w:color w:val="000000" w:themeColor="text1"/>
                <w:sz w:val="18"/>
                <w:szCs w:val="18"/>
              </w:rPr>
            </w:pPr>
            <w:r>
              <w:rPr>
                <w:color w:val="000000" w:themeColor="text1"/>
                <w:sz w:val="18"/>
                <w:szCs w:val="18"/>
              </w:rPr>
              <w:t>考</w:t>
            </w:r>
          </w:p>
          <w:p w14:paraId="78D76D0F">
            <w:pPr>
              <w:spacing w:line="360" w:lineRule="exact"/>
              <w:jc w:val="center"/>
              <w:rPr>
                <w:color w:val="000000" w:themeColor="text1"/>
                <w:sz w:val="18"/>
                <w:szCs w:val="18"/>
              </w:rPr>
            </w:pPr>
            <w:r>
              <w:rPr>
                <w:color w:val="000000" w:themeColor="text1"/>
                <w:sz w:val="18"/>
                <w:szCs w:val="18"/>
              </w:rPr>
              <w:t>试</w:t>
            </w:r>
          </w:p>
        </w:tc>
        <w:tc>
          <w:tcPr>
            <w:tcW w:w="748" w:type="dxa"/>
            <w:tcBorders>
              <w:top w:val="single" w:color="000000" w:sz="12" w:space="0"/>
              <w:left w:val="single" w:color="000000" w:sz="4" w:space="0"/>
              <w:bottom w:val="single" w:color="000000" w:sz="4" w:space="0"/>
              <w:right w:val="single" w:color="000000" w:sz="12" w:space="0"/>
            </w:tcBorders>
            <w:vAlign w:val="center"/>
          </w:tcPr>
          <w:p w14:paraId="5AF26A86">
            <w:pPr>
              <w:spacing w:line="360" w:lineRule="exact"/>
              <w:jc w:val="center"/>
              <w:rPr>
                <w:color w:val="000000" w:themeColor="text1"/>
                <w:sz w:val="18"/>
                <w:szCs w:val="18"/>
              </w:rPr>
            </w:pPr>
            <w:r>
              <w:rPr>
                <w:color w:val="000000" w:themeColor="text1"/>
                <w:sz w:val="18"/>
                <w:szCs w:val="18"/>
              </w:rPr>
              <w:t>本期         周数</w:t>
            </w:r>
          </w:p>
        </w:tc>
      </w:tr>
      <w:tr w14:paraId="0668FD98">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3A531A2C">
            <w:pPr>
              <w:spacing w:line="360" w:lineRule="exact"/>
              <w:jc w:val="center"/>
              <w:rPr>
                <w:color w:val="000000" w:themeColor="text1"/>
                <w:sz w:val="18"/>
                <w:szCs w:val="18"/>
              </w:rPr>
            </w:pPr>
            <w:r>
              <w:rPr>
                <w:color w:val="000000" w:themeColor="text1"/>
                <w:sz w:val="18"/>
                <w:szCs w:val="18"/>
              </w:rPr>
              <w:t>一</w:t>
            </w:r>
          </w:p>
        </w:tc>
        <w:tc>
          <w:tcPr>
            <w:tcW w:w="974" w:type="dxa"/>
            <w:tcBorders>
              <w:top w:val="single" w:color="000000" w:sz="4" w:space="0"/>
              <w:left w:val="single" w:color="000000" w:sz="4" w:space="0"/>
              <w:bottom w:val="single" w:color="000000" w:sz="4" w:space="0"/>
              <w:right w:val="single" w:color="000000" w:sz="4" w:space="0"/>
            </w:tcBorders>
            <w:vAlign w:val="center"/>
          </w:tcPr>
          <w:p w14:paraId="2F66E8AF">
            <w:pPr>
              <w:spacing w:line="360" w:lineRule="exact"/>
              <w:jc w:val="center"/>
              <w:rPr>
                <w:color w:val="000000" w:themeColor="text1"/>
                <w:sz w:val="18"/>
                <w:szCs w:val="18"/>
              </w:rPr>
            </w:pPr>
            <w:r>
              <w:rPr>
                <w:color w:val="000000" w:themeColor="text1"/>
                <w:sz w:val="18"/>
                <w:szCs w:val="18"/>
              </w:rPr>
              <w:t>2</w:t>
            </w:r>
          </w:p>
        </w:tc>
        <w:tc>
          <w:tcPr>
            <w:tcW w:w="717" w:type="dxa"/>
            <w:tcBorders>
              <w:top w:val="single" w:color="000000" w:sz="4" w:space="0"/>
              <w:left w:val="single" w:color="000000" w:sz="4" w:space="0"/>
              <w:bottom w:val="single" w:color="000000" w:sz="4" w:space="0"/>
              <w:right w:val="single" w:color="000000" w:sz="4" w:space="0"/>
            </w:tcBorders>
            <w:vAlign w:val="center"/>
          </w:tcPr>
          <w:p w14:paraId="3CD1A9B2">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rPr>
              <w:t>1</w:t>
            </w:r>
            <w:r>
              <w:rPr>
                <w:rFonts w:hint="eastAsia"/>
                <w:color w:val="000000" w:themeColor="text1"/>
                <w:sz w:val="18"/>
                <w:szCs w:val="18"/>
                <w:lang w:val="en-US" w:eastAsia="zh-CN"/>
              </w:rPr>
              <w:t>4</w:t>
            </w:r>
          </w:p>
        </w:tc>
        <w:tc>
          <w:tcPr>
            <w:tcW w:w="665" w:type="dxa"/>
            <w:tcBorders>
              <w:top w:val="single" w:color="000000" w:sz="4" w:space="0"/>
              <w:left w:val="single" w:color="auto" w:sz="4" w:space="0"/>
              <w:bottom w:val="single" w:color="000000" w:sz="4" w:space="0"/>
              <w:right w:val="single" w:color="auto" w:sz="4" w:space="0"/>
            </w:tcBorders>
            <w:vAlign w:val="center"/>
          </w:tcPr>
          <w:p w14:paraId="2D80CD39">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w:t>
            </w:r>
          </w:p>
        </w:tc>
        <w:tc>
          <w:tcPr>
            <w:tcW w:w="665" w:type="dxa"/>
            <w:tcBorders>
              <w:top w:val="single" w:color="000000" w:sz="4" w:space="0"/>
              <w:left w:val="single" w:color="auto" w:sz="4" w:space="0"/>
              <w:bottom w:val="single" w:color="000000" w:sz="4" w:space="0"/>
              <w:right w:val="single" w:color="auto" w:sz="4" w:space="0"/>
            </w:tcBorders>
            <w:vAlign w:val="center"/>
          </w:tcPr>
          <w:p w14:paraId="395D9C59">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6A3C2EF7">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B3190C1">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31DFF29">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317D8C1">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75E80AC7">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432DC8BB">
            <w:pPr>
              <w:spacing w:line="360" w:lineRule="exact"/>
              <w:jc w:val="center"/>
              <w:rPr>
                <w:color w:val="000000" w:themeColor="text1"/>
                <w:sz w:val="18"/>
                <w:szCs w:val="18"/>
              </w:rPr>
            </w:pPr>
            <w:r>
              <w:rPr>
                <w:color w:val="000000" w:themeColor="text1"/>
                <w:sz w:val="18"/>
                <w:szCs w:val="18"/>
              </w:rPr>
              <w:t>20</w:t>
            </w:r>
          </w:p>
        </w:tc>
      </w:tr>
      <w:tr w14:paraId="413EFA1D">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DE98B3D">
            <w:pPr>
              <w:spacing w:line="360" w:lineRule="exact"/>
              <w:jc w:val="center"/>
              <w:rPr>
                <w:color w:val="000000" w:themeColor="text1"/>
                <w:sz w:val="18"/>
                <w:szCs w:val="18"/>
              </w:rPr>
            </w:pPr>
            <w:r>
              <w:rPr>
                <w:color w:val="000000" w:themeColor="text1"/>
                <w:sz w:val="18"/>
                <w:szCs w:val="18"/>
              </w:rPr>
              <w:t>二</w:t>
            </w:r>
          </w:p>
        </w:tc>
        <w:tc>
          <w:tcPr>
            <w:tcW w:w="974" w:type="dxa"/>
            <w:tcBorders>
              <w:top w:val="single" w:color="000000" w:sz="4" w:space="0"/>
              <w:left w:val="single" w:color="000000" w:sz="4" w:space="0"/>
              <w:bottom w:val="single" w:color="000000" w:sz="4" w:space="0"/>
              <w:right w:val="single" w:color="000000" w:sz="4" w:space="0"/>
            </w:tcBorders>
            <w:vAlign w:val="center"/>
          </w:tcPr>
          <w:p w14:paraId="6C62D739">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659B19A1">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rPr>
              <w:t>1</w:t>
            </w:r>
            <w:r>
              <w:rPr>
                <w:rFonts w:hint="eastAsia"/>
                <w:color w:val="000000" w:themeColor="text1"/>
                <w:sz w:val="18"/>
                <w:szCs w:val="18"/>
                <w:lang w:val="en-US" w:eastAsia="zh-CN"/>
              </w:rPr>
              <w:t>6</w:t>
            </w:r>
          </w:p>
        </w:tc>
        <w:tc>
          <w:tcPr>
            <w:tcW w:w="665" w:type="dxa"/>
            <w:tcBorders>
              <w:top w:val="single" w:color="000000" w:sz="4" w:space="0"/>
              <w:left w:val="single" w:color="auto" w:sz="4" w:space="0"/>
              <w:bottom w:val="single" w:color="000000" w:sz="4" w:space="0"/>
              <w:right w:val="single" w:color="auto" w:sz="4" w:space="0"/>
            </w:tcBorders>
            <w:vAlign w:val="center"/>
          </w:tcPr>
          <w:p w14:paraId="498F3F49">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w:t>
            </w:r>
          </w:p>
        </w:tc>
        <w:tc>
          <w:tcPr>
            <w:tcW w:w="665" w:type="dxa"/>
            <w:tcBorders>
              <w:top w:val="single" w:color="000000" w:sz="4" w:space="0"/>
              <w:left w:val="single" w:color="auto" w:sz="4" w:space="0"/>
              <w:bottom w:val="single" w:color="000000" w:sz="4" w:space="0"/>
              <w:right w:val="single" w:color="auto" w:sz="4" w:space="0"/>
            </w:tcBorders>
            <w:vAlign w:val="center"/>
          </w:tcPr>
          <w:p w14:paraId="40F45606">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3637335B">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DCB3E6A">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EE39C29">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9F1B305">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048EDCCB">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5C864228">
            <w:pPr>
              <w:spacing w:line="360" w:lineRule="exact"/>
              <w:jc w:val="center"/>
              <w:rPr>
                <w:color w:val="000000" w:themeColor="text1"/>
                <w:sz w:val="18"/>
                <w:szCs w:val="18"/>
              </w:rPr>
            </w:pPr>
            <w:r>
              <w:rPr>
                <w:color w:val="000000" w:themeColor="text1"/>
                <w:sz w:val="18"/>
                <w:szCs w:val="18"/>
              </w:rPr>
              <w:t>20</w:t>
            </w:r>
          </w:p>
        </w:tc>
      </w:tr>
      <w:tr w14:paraId="1B0F0FE7">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92C18B2">
            <w:pPr>
              <w:spacing w:line="360" w:lineRule="exact"/>
              <w:jc w:val="center"/>
              <w:rPr>
                <w:color w:val="000000" w:themeColor="text1"/>
                <w:sz w:val="18"/>
                <w:szCs w:val="18"/>
              </w:rPr>
            </w:pPr>
            <w:r>
              <w:rPr>
                <w:color w:val="000000" w:themeColor="text1"/>
                <w:sz w:val="18"/>
                <w:szCs w:val="18"/>
              </w:rPr>
              <w:t>三</w:t>
            </w:r>
          </w:p>
        </w:tc>
        <w:tc>
          <w:tcPr>
            <w:tcW w:w="974" w:type="dxa"/>
            <w:tcBorders>
              <w:top w:val="single" w:color="000000" w:sz="4" w:space="0"/>
              <w:left w:val="single" w:color="000000" w:sz="4" w:space="0"/>
              <w:bottom w:val="single" w:color="000000" w:sz="4" w:space="0"/>
              <w:right w:val="single" w:color="000000" w:sz="4" w:space="0"/>
            </w:tcBorders>
            <w:vAlign w:val="center"/>
          </w:tcPr>
          <w:p w14:paraId="7DC9F368">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7EC1F848">
            <w:pPr>
              <w:spacing w:line="360" w:lineRule="exact"/>
              <w:jc w:val="center"/>
              <w:rPr>
                <w:color w:val="000000" w:themeColor="text1"/>
                <w:sz w:val="18"/>
                <w:szCs w:val="18"/>
              </w:rPr>
            </w:pPr>
            <w:r>
              <w:rPr>
                <w:rFonts w:hint="eastAsia"/>
                <w:color w:val="000000" w:themeColor="text1"/>
                <w:sz w:val="18"/>
                <w:szCs w:val="18"/>
              </w:rPr>
              <w:t>18</w:t>
            </w:r>
          </w:p>
        </w:tc>
        <w:tc>
          <w:tcPr>
            <w:tcW w:w="665" w:type="dxa"/>
            <w:tcBorders>
              <w:top w:val="single" w:color="000000" w:sz="4" w:space="0"/>
              <w:left w:val="single" w:color="auto" w:sz="4" w:space="0"/>
              <w:bottom w:val="single" w:color="000000" w:sz="4" w:space="0"/>
              <w:right w:val="single" w:color="auto" w:sz="4" w:space="0"/>
            </w:tcBorders>
            <w:vAlign w:val="center"/>
          </w:tcPr>
          <w:p w14:paraId="6074A565">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6BE6F9E2">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10B1B5FB">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F8F13B1">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D2EDE9C">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C1B2162">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4EE41578">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4D1F1C83">
            <w:pPr>
              <w:spacing w:line="360" w:lineRule="exact"/>
              <w:jc w:val="center"/>
              <w:rPr>
                <w:color w:val="000000" w:themeColor="text1"/>
                <w:sz w:val="18"/>
                <w:szCs w:val="18"/>
              </w:rPr>
            </w:pPr>
            <w:r>
              <w:rPr>
                <w:color w:val="000000" w:themeColor="text1"/>
                <w:sz w:val="18"/>
                <w:szCs w:val="18"/>
              </w:rPr>
              <w:t>20</w:t>
            </w:r>
          </w:p>
        </w:tc>
      </w:tr>
      <w:tr w14:paraId="33F9803A">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3F672317">
            <w:pPr>
              <w:spacing w:line="360" w:lineRule="exact"/>
              <w:jc w:val="center"/>
              <w:rPr>
                <w:color w:val="000000" w:themeColor="text1"/>
                <w:sz w:val="18"/>
                <w:szCs w:val="18"/>
              </w:rPr>
            </w:pPr>
            <w:r>
              <w:rPr>
                <w:color w:val="000000" w:themeColor="text1"/>
                <w:sz w:val="18"/>
                <w:szCs w:val="18"/>
              </w:rPr>
              <w:t>四</w:t>
            </w:r>
          </w:p>
        </w:tc>
        <w:tc>
          <w:tcPr>
            <w:tcW w:w="974" w:type="dxa"/>
            <w:tcBorders>
              <w:top w:val="single" w:color="000000" w:sz="4" w:space="0"/>
              <w:left w:val="single" w:color="000000" w:sz="4" w:space="0"/>
              <w:bottom w:val="single" w:color="000000" w:sz="4" w:space="0"/>
              <w:right w:val="single" w:color="000000" w:sz="4" w:space="0"/>
            </w:tcBorders>
            <w:vAlign w:val="center"/>
          </w:tcPr>
          <w:p w14:paraId="4FDA1392">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71EB5A90">
            <w:pPr>
              <w:spacing w:line="360" w:lineRule="exact"/>
              <w:jc w:val="center"/>
              <w:rPr>
                <w:color w:val="000000" w:themeColor="text1"/>
                <w:sz w:val="18"/>
                <w:szCs w:val="18"/>
              </w:rPr>
            </w:pPr>
            <w:r>
              <w:rPr>
                <w:rFonts w:hint="eastAsia"/>
                <w:color w:val="000000" w:themeColor="text1"/>
                <w:sz w:val="18"/>
                <w:szCs w:val="18"/>
              </w:rPr>
              <w:t>18</w:t>
            </w:r>
          </w:p>
        </w:tc>
        <w:tc>
          <w:tcPr>
            <w:tcW w:w="665" w:type="dxa"/>
            <w:tcBorders>
              <w:top w:val="single" w:color="000000" w:sz="4" w:space="0"/>
              <w:left w:val="single" w:color="auto" w:sz="4" w:space="0"/>
              <w:bottom w:val="single" w:color="000000" w:sz="4" w:space="0"/>
              <w:right w:val="single" w:color="auto" w:sz="4" w:space="0"/>
            </w:tcBorders>
            <w:vAlign w:val="center"/>
          </w:tcPr>
          <w:p w14:paraId="05315846">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46AE1BED">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5288F7DF">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BC97957">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D26725E">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76ECDD4">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3B1B3D77">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3D5B2A49">
            <w:pPr>
              <w:spacing w:line="360" w:lineRule="exact"/>
              <w:jc w:val="center"/>
              <w:rPr>
                <w:color w:val="000000" w:themeColor="text1"/>
                <w:sz w:val="18"/>
                <w:szCs w:val="18"/>
              </w:rPr>
            </w:pPr>
            <w:r>
              <w:rPr>
                <w:color w:val="000000" w:themeColor="text1"/>
                <w:sz w:val="18"/>
                <w:szCs w:val="18"/>
              </w:rPr>
              <w:t>20</w:t>
            </w:r>
          </w:p>
        </w:tc>
      </w:tr>
      <w:tr w14:paraId="0729A54B">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00F8FEED">
            <w:pPr>
              <w:spacing w:line="360" w:lineRule="exact"/>
              <w:jc w:val="center"/>
              <w:rPr>
                <w:color w:val="000000" w:themeColor="text1"/>
                <w:sz w:val="18"/>
                <w:szCs w:val="18"/>
              </w:rPr>
            </w:pPr>
            <w:r>
              <w:rPr>
                <w:color w:val="000000" w:themeColor="text1"/>
                <w:sz w:val="18"/>
                <w:szCs w:val="18"/>
              </w:rPr>
              <w:t>五</w:t>
            </w:r>
          </w:p>
        </w:tc>
        <w:tc>
          <w:tcPr>
            <w:tcW w:w="974" w:type="dxa"/>
            <w:tcBorders>
              <w:top w:val="single" w:color="000000" w:sz="4" w:space="0"/>
              <w:left w:val="single" w:color="000000" w:sz="4" w:space="0"/>
              <w:bottom w:val="single" w:color="000000" w:sz="4" w:space="0"/>
              <w:right w:val="single" w:color="000000" w:sz="4" w:space="0"/>
            </w:tcBorders>
            <w:vAlign w:val="center"/>
          </w:tcPr>
          <w:p w14:paraId="2DDE01A6">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1A0DF538">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4DDB9270">
            <w:pPr>
              <w:spacing w:line="360" w:lineRule="exact"/>
              <w:jc w:val="center"/>
              <w:rPr>
                <w:rFonts w:hint="eastAsia"/>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0E1C657A">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w:t>
            </w:r>
          </w:p>
        </w:tc>
        <w:tc>
          <w:tcPr>
            <w:tcW w:w="665" w:type="dxa"/>
            <w:tcBorders>
              <w:top w:val="single" w:color="000000" w:sz="4" w:space="0"/>
              <w:left w:val="single" w:color="auto" w:sz="4" w:space="0"/>
              <w:bottom w:val="single" w:color="000000" w:sz="4" w:space="0"/>
              <w:right w:val="single" w:color="000000" w:sz="4" w:space="0"/>
            </w:tcBorders>
            <w:vAlign w:val="center"/>
          </w:tcPr>
          <w:p w14:paraId="7EEB4D9E">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rPr>
              <w:t>1</w:t>
            </w:r>
            <w:r>
              <w:rPr>
                <w:rFonts w:hint="eastAsia"/>
                <w:color w:val="000000" w:themeColor="text1"/>
                <w:sz w:val="18"/>
                <w:szCs w:val="18"/>
                <w:lang w:val="en-US" w:eastAsia="zh-CN"/>
              </w:rPr>
              <w:t>8</w:t>
            </w:r>
          </w:p>
        </w:tc>
        <w:tc>
          <w:tcPr>
            <w:tcW w:w="567" w:type="dxa"/>
            <w:tcBorders>
              <w:top w:val="single" w:color="000000" w:sz="4" w:space="0"/>
              <w:left w:val="single" w:color="000000" w:sz="4" w:space="0"/>
              <w:bottom w:val="single" w:color="000000" w:sz="4" w:space="0"/>
              <w:right w:val="single" w:color="000000" w:sz="4" w:space="0"/>
            </w:tcBorders>
            <w:vAlign w:val="center"/>
          </w:tcPr>
          <w:p w14:paraId="5F51FEFF">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7D64947">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7E40A93">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4634A2A0">
            <w:pPr>
              <w:spacing w:line="360" w:lineRule="exact"/>
              <w:jc w:val="center"/>
              <w:rPr>
                <w:color w:val="000000" w:themeColor="text1"/>
                <w:sz w:val="18"/>
                <w:szCs w:val="18"/>
              </w:rPr>
            </w:pPr>
          </w:p>
        </w:tc>
        <w:tc>
          <w:tcPr>
            <w:tcW w:w="748" w:type="dxa"/>
            <w:tcBorders>
              <w:top w:val="single" w:color="000000" w:sz="4" w:space="0"/>
              <w:left w:val="single" w:color="000000" w:sz="4" w:space="0"/>
              <w:bottom w:val="single" w:color="000000" w:sz="4" w:space="0"/>
              <w:right w:val="single" w:color="000000" w:sz="12" w:space="0"/>
            </w:tcBorders>
            <w:vAlign w:val="center"/>
          </w:tcPr>
          <w:p w14:paraId="635A34ED">
            <w:pPr>
              <w:spacing w:line="360" w:lineRule="exact"/>
              <w:jc w:val="center"/>
              <w:rPr>
                <w:color w:val="000000" w:themeColor="text1"/>
                <w:sz w:val="18"/>
                <w:szCs w:val="18"/>
              </w:rPr>
            </w:pPr>
            <w:r>
              <w:rPr>
                <w:color w:val="000000" w:themeColor="text1"/>
                <w:sz w:val="18"/>
                <w:szCs w:val="18"/>
              </w:rPr>
              <w:t>20</w:t>
            </w:r>
          </w:p>
        </w:tc>
      </w:tr>
      <w:tr w14:paraId="2E9AB8EF">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2B84133A">
            <w:pPr>
              <w:spacing w:line="360" w:lineRule="exact"/>
              <w:jc w:val="center"/>
              <w:rPr>
                <w:color w:val="000000" w:themeColor="text1"/>
                <w:sz w:val="18"/>
                <w:szCs w:val="18"/>
              </w:rPr>
            </w:pPr>
            <w:r>
              <w:rPr>
                <w:color w:val="000000" w:themeColor="text1"/>
                <w:sz w:val="18"/>
                <w:szCs w:val="18"/>
              </w:rPr>
              <w:t>六</w:t>
            </w:r>
          </w:p>
        </w:tc>
        <w:tc>
          <w:tcPr>
            <w:tcW w:w="974" w:type="dxa"/>
            <w:tcBorders>
              <w:top w:val="single" w:color="000000" w:sz="4" w:space="0"/>
              <w:left w:val="single" w:color="000000" w:sz="4" w:space="0"/>
              <w:bottom w:val="single" w:color="000000" w:sz="4" w:space="0"/>
              <w:right w:val="single" w:color="000000" w:sz="4" w:space="0"/>
            </w:tcBorders>
            <w:vAlign w:val="center"/>
          </w:tcPr>
          <w:p w14:paraId="6794569F">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55E06493">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27590508">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4B05534B">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296A1B75">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8</w:t>
            </w:r>
          </w:p>
        </w:tc>
        <w:tc>
          <w:tcPr>
            <w:tcW w:w="567" w:type="dxa"/>
            <w:tcBorders>
              <w:top w:val="single" w:color="000000" w:sz="4" w:space="0"/>
              <w:left w:val="single" w:color="000000" w:sz="4" w:space="0"/>
              <w:bottom w:val="single" w:color="000000" w:sz="4" w:space="0"/>
              <w:right w:val="single" w:color="000000" w:sz="4" w:space="0"/>
            </w:tcBorders>
            <w:vAlign w:val="center"/>
          </w:tcPr>
          <w:p w14:paraId="6D3B515A">
            <w:pPr>
              <w:spacing w:line="360" w:lineRule="exac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567" w:type="dxa"/>
            <w:tcBorders>
              <w:top w:val="single" w:color="000000" w:sz="4" w:space="0"/>
              <w:left w:val="single" w:color="000000" w:sz="4" w:space="0"/>
              <w:bottom w:val="single" w:color="000000" w:sz="4" w:space="0"/>
              <w:right w:val="single" w:color="000000" w:sz="4" w:space="0"/>
            </w:tcBorders>
            <w:vAlign w:val="center"/>
          </w:tcPr>
          <w:p w14:paraId="119E52AF">
            <w:pPr>
              <w:spacing w:line="360" w:lineRule="exact"/>
              <w:jc w:val="center"/>
              <w:rPr>
                <w:color w:val="000000" w:themeColor="text1"/>
                <w:sz w:val="18"/>
                <w:szCs w:val="18"/>
              </w:rPr>
            </w:pPr>
            <w:r>
              <w:rPr>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12BE29B8">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57A35DFC">
            <w:pPr>
              <w:spacing w:line="360" w:lineRule="exact"/>
              <w:jc w:val="center"/>
              <w:rPr>
                <w:color w:val="000000" w:themeColor="text1"/>
                <w:sz w:val="18"/>
                <w:szCs w:val="18"/>
              </w:rPr>
            </w:pPr>
          </w:p>
        </w:tc>
        <w:tc>
          <w:tcPr>
            <w:tcW w:w="748" w:type="dxa"/>
            <w:tcBorders>
              <w:top w:val="single" w:color="000000" w:sz="4" w:space="0"/>
              <w:left w:val="single" w:color="000000" w:sz="4" w:space="0"/>
              <w:bottom w:val="single" w:color="000000" w:sz="4" w:space="0"/>
              <w:right w:val="single" w:color="000000" w:sz="12" w:space="0"/>
            </w:tcBorders>
            <w:vAlign w:val="center"/>
          </w:tcPr>
          <w:p w14:paraId="4248F639">
            <w:pPr>
              <w:spacing w:line="360" w:lineRule="exact"/>
              <w:jc w:val="center"/>
              <w:rPr>
                <w:color w:val="000000" w:themeColor="text1"/>
                <w:sz w:val="18"/>
                <w:szCs w:val="18"/>
              </w:rPr>
            </w:pPr>
            <w:r>
              <w:rPr>
                <w:color w:val="000000" w:themeColor="text1"/>
                <w:sz w:val="18"/>
                <w:szCs w:val="18"/>
              </w:rPr>
              <w:t>20</w:t>
            </w:r>
          </w:p>
        </w:tc>
      </w:tr>
      <w:tr w14:paraId="5C84347B">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276BD95B">
            <w:pPr>
              <w:spacing w:line="360" w:lineRule="exact"/>
              <w:jc w:val="center"/>
              <w:rPr>
                <w:color w:val="000000" w:themeColor="text1"/>
                <w:sz w:val="18"/>
                <w:szCs w:val="18"/>
              </w:rPr>
            </w:pPr>
            <w:r>
              <w:rPr>
                <w:color w:val="000000" w:themeColor="text1"/>
                <w:sz w:val="18"/>
                <w:szCs w:val="18"/>
              </w:rPr>
              <w:t>总 计</w:t>
            </w:r>
          </w:p>
        </w:tc>
        <w:tc>
          <w:tcPr>
            <w:tcW w:w="974" w:type="dxa"/>
            <w:tcBorders>
              <w:top w:val="single" w:color="000000" w:sz="4" w:space="0"/>
              <w:left w:val="single" w:color="000000" w:sz="4" w:space="0"/>
              <w:bottom w:val="single" w:color="000000" w:sz="12" w:space="0"/>
              <w:right w:val="single" w:color="000000" w:sz="4" w:space="0"/>
            </w:tcBorders>
            <w:vAlign w:val="center"/>
          </w:tcPr>
          <w:p w14:paraId="7186F2B7">
            <w:pPr>
              <w:spacing w:line="360" w:lineRule="exact"/>
              <w:jc w:val="center"/>
              <w:rPr>
                <w:color w:val="000000" w:themeColor="text1"/>
                <w:sz w:val="18"/>
                <w:szCs w:val="18"/>
              </w:rPr>
            </w:pPr>
            <w:r>
              <w:rPr>
                <w:color w:val="000000" w:themeColor="text1"/>
                <w:sz w:val="18"/>
                <w:szCs w:val="18"/>
              </w:rPr>
              <w:t>2</w:t>
            </w:r>
          </w:p>
        </w:tc>
        <w:tc>
          <w:tcPr>
            <w:tcW w:w="717" w:type="dxa"/>
            <w:tcBorders>
              <w:top w:val="single" w:color="000000" w:sz="4" w:space="0"/>
              <w:left w:val="single" w:color="000000" w:sz="4" w:space="0"/>
              <w:bottom w:val="single" w:color="000000" w:sz="12" w:space="0"/>
              <w:right w:val="single" w:color="000000" w:sz="4" w:space="0"/>
            </w:tcBorders>
            <w:vAlign w:val="center"/>
          </w:tcPr>
          <w:p w14:paraId="620B6ADB">
            <w:pPr>
              <w:spacing w:line="360" w:lineRule="exac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66</w:t>
            </w:r>
          </w:p>
        </w:tc>
        <w:tc>
          <w:tcPr>
            <w:tcW w:w="665" w:type="dxa"/>
            <w:tcBorders>
              <w:top w:val="single" w:color="000000" w:sz="4" w:space="0"/>
              <w:left w:val="single" w:color="auto" w:sz="4" w:space="0"/>
              <w:bottom w:val="single" w:color="000000" w:sz="12" w:space="0"/>
              <w:right w:val="single" w:color="auto" w:sz="4" w:space="0"/>
            </w:tcBorders>
            <w:vAlign w:val="center"/>
          </w:tcPr>
          <w:p w14:paraId="2E598E6B">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4</w:t>
            </w:r>
          </w:p>
        </w:tc>
        <w:tc>
          <w:tcPr>
            <w:tcW w:w="665" w:type="dxa"/>
            <w:tcBorders>
              <w:top w:val="single" w:color="000000" w:sz="4" w:space="0"/>
              <w:left w:val="single" w:color="auto" w:sz="4" w:space="0"/>
              <w:bottom w:val="single" w:color="000000" w:sz="12" w:space="0"/>
              <w:right w:val="single" w:color="auto" w:sz="4" w:space="0"/>
            </w:tcBorders>
            <w:vAlign w:val="center"/>
          </w:tcPr>
          <w:p w14:paraId="1DD46A7B">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w:t>
            </w:r>
          </w:p>
        </w:tc>
        <w:tc>
          <w:tcPr>
            <w:tcW w:w="665" w:type="dxa"/>
            <w:tcBorders>
              <w:top w:val="single" w:color="000000" w:sz="4" w:space="0"/>
              <w:left w:val="single" w:color="auto" w:sz="4" w:space="0"/>
              <w:bottom w:val="single" w:color="000000" w:sz="12" w:space="0"/>
              <w:right w:val="single" w:color="000000" w:sz="4" w:space="0"/>
            </w:tcBorders>
            <w:vAlign w:val="center"/>
          </w:tcPr>
          <w:p w14:paraId="3146C333">
            <w:pPr>
              <w:spacing w:line="360" w:lineRule="exact"/>
              <w:jc w:val="center"/>
              <w:rPr>
                <w:rFonts w:hint="eastAsia" w:eastAsia="宋体"/>
                <w:color w:val="000000" w:themeColor="text1"/>
                <w:sz w:val="18"/>
                <w:szCs w:val="18"/>
                <w:lang w:val="en-US" w:eastAsia="zh-CN"/>
              </w:rPr>
            </w:pPr>
            <w:r>
              <w:rPr>
                <w:color w:val="000000" w:themeColor="text1"/>
                <w:sz w:val="18"/>
                <w:szCs w:val="18"/>
              </w:rPr>
              <w:t>2</w:t>
            </w:r>
            <w:r>
              <w:rPr>
                <w:rFonts w:hint="eastAsia"/>
                <w:color w:val="000000" w:themeColor="text1"/>
                <w:sz w:val="18"/>
                <w:szCs w:val="18"/>
                <w:lang w:val="en-US" w:eastAsia="zh-CN"/>
              </w:rPr>
              <w:t>6</w:t>
            </w:r>
          </w:p>
        </w:tc>
        <w:tc>
          <w:tcPr>
            <w:tcW w:w="567" w:type="dxa"/>
            <w:tcBorders>
              <w:top w:val="single" w:color="000000" w:sz="4" w:space="0"/>
              <w:left w:val="single" w:color="000000" w:sz="4" w:space="0"/>
              <w:bottom w:val="single" w:color="000000" w:sz="12" w:space="0"/>
              <w:right w:val="single" w:color="000000" w:sz="4" w:space="0"/>
            </w:tcBorders>
            <w:vAlign w:val="center"/>
          </w:tcPr>
          <w:p w14:paraId="0A54072D">
            <w:pPr>
              <w:spacing w:line="360" w:lineRule="exac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567" w:type="dxa"/>
            <w:tcBorders>
              <w:top w:val="single" w:color="000000" w:sz="4" w:space="0"/>
              <w:left w:val="single" w:color="000000" w:sz="4" w:space="0"/>
              <w:bottom w:val="single" w:color="000000" w:sz="12" w:space="0"/>
              <w:right w:val="single" w:color="000000" w:sz="4" w:space="0"/>
            </w:tcBorders>
            <w:vAlign w:val="center"/>
          </w:tcPr>
          <w:p w14:paraId="3348B98E">
            <w:pPr>
              <w:spacing w:line="360" w:lineRule="exact"/>
              <w:jc w:val="center"/>
              <w:rPr>
                <w:color w:val="000000" w:themeColor="text1"/>
                <w:sz w:val="18"/>
                <w:szCs w:val="18"/>
              </w:rPr>
            </w:pPr>
            <w:r>
              <w:rPr>
                <w:color w:val="000000" w:themeColor="text1"/>
                <w:sz w:val="18"/>
                <w:szCs w:val="18"/>
              </w:rPr>
              <w:t>1</w:t>
            </w:r>
          </w:p>
        </w:tc>
        <w:tc>
          <w:tcPr>
            <w:tcW w:w="567" w:type="dxa"/>
            <w:tcBorders>
              <w:top w:val="single" w:color="000000" w:sz="4" w:space="0"/>
              <w:left w:val="single" w:color="000000" w:sz="4" w:space="0"/>
              <w:bottom w:val="single" w:color="000000" w:sz="12" w:space="0"/>
              <w:right w:val="single" w:color="000000" w:sz="4" w:space="0"/>
            </w:tcBorders>
            <w:vAlign w:val="center"/>
          </w:tcPr>
          <w:p w14:paraId="22E244D6">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6</w:t>
            </w:r>
          </w:p>
        </w:tc>
        <w:tc>
          <w:tcPr>
            <w:tcW w:w="567" w:type="dxa"/>
            <w:tcBorders>
              <w:top w:val="single" w:color="000000" w:sz="4" w:space="0"/>
              <w:left w:val="single" w:color="000000" w:sz="4" w:space="0"/>
              <w:bottom w:val="single" w:color="000000" w:sz="12" w:space="0"/>
              <w:right w:val="single" w:color="000000" w:sz="4" w:space="0"/>
            </w:tcBorders>
            <w:vAlign w:val="center"/>
          </w:tcPr>
          <w:p w14:paraId="10E43844">
            <w:pPr>
              <w:spacing w:line="360" w:lineRule="exact"/>
              <w:jc w:val="center"/>
              <w:rPr>
                <w:color w:val="000000" w:themeColor="text1"/>
                <w:sz w:val="18"/>
                <w:szCs w:val="18"/>
              </w:rPr>
            </w:pPr>
            <w:r>
              <w:rPr>
                <w:color w:val="000000" w:themeColor="text1"/>
                <w:sz w:val="18"/>
                <w:szCs w:val="18"/>
              </w:rPr>
              <w:t>4</w:t>
            </w:r>
          </w:p>
        </w:tc>
        <w:tc>
          <w:tcPr>
            <w:tcW w:w="748" w:type="dxa"/>
            <w:tcBorders>
              <w:top w:val="single" w:color="000000" w:sz="4" w:space="0"/>
              <w:left w:val="single" w:color="000000" w:sz="4" w:space="0"/>
              <w:bottom w:val="single" w:color="000000" w:sz="12" w:space="0"/>
              <w:right w:val="single" w:color="000000" w:sz="12" w:space="0"/>
            </w:tcBorders>
            <w:vAlign w:val="center"/>
          </w:tcPr>
          <w:p w14:paraId="7D53C3B7">
            <w:pPr>
              <w:spacing w:line="36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r>
              <w:rPr>
                <w:color w:val="000000" w:themeColor="text1"/>
                <w:sz w:val="18"/>
                <w:szCs w:val="18"/>
              </w:rPr>
              <w:t>0</w:t>
            </w:r>
          </w:p>
        </w:tc>
      </w:tr>
    </w:tbl>
    <w:p w14:paraId="54ECDB40">
      <w:pPr>
        <w:tabs>
          <w:tab w:val="left" w:pos="312"/>
        </w:tabs>
        <w:spacing w:line="440" w:lineRule="exact"/>
        <w:ind w:left="420"/>
        <w:rPr>
          <w:rFonts w:ascii="黑体" w:hAnsi="黑体" w:eastAsia="黑体"/>
          <w:color w:val="000000" w:themeColor="text1"/>
          <w:szCs w:val="21"/>
        </w:rPr>
        <w:sectPr>
          <w:footerReference r:id="rId4" w:type="default"/>
          <w:pgSz w:w="11906" w:h="16838"/>
          <w:pgMar w:top="1440" w:right="1797" w:bottom="1440" w:left="1797" w:header="851" w:footer="992" w:gutter="0"/>
          <w:pgNumType w:start="1"/>
          <w:cols w:space="425" w:num="1"/>
          <w:docGrid w:type="linesAndChars" w:linePitch="312" w:charSpace="0"/>
        </w:sectPr>
      </w:pPr>
    </w:p>
    <w:p w14:paraId="6D407BC1">
      <w:pPr>
        <w:tabs>
          <w:tab w:val="left" w:pos="312"/>
        </w:tabs>
        <w:spacing w:line="440" w:lineRule="exact"/>
        <w:ind w:firstLine="420" w:firstLineChars="200"/>
        <w:rPr>
          <w:rFonts w:ascii="黑体" w:hAnsi="黑体" w:eastAsia="黑体"/>
          <w:color w:val="000000" w:themeColor="text1"/>
          <w:szCs w:val="21"/>
        </w:rPr>
      </w:pPr>
      <w:r>
        <w:rPr>
          <w:rFonts w:hint="eastAsia" w:ascii="黑体" w:hAnsi="黑体" w:eastAsia="黑体"/>
          <w:color w:val="000000" w:themeColor="text1"/>
          <w:szCs w:val="21"/>
        </w:rPr>
        <w:t>（二）教学进程安排</w:t>
      </w:r>
    </w:p>
    <w:p w14:paraId="1FFD07E5">
      <w:pPr>
        <w:tabs>
          <w:tab w:val="left" w:pos="312"/>
        </w:tabs>
        <w:spacing w:line="440" w:lineRule="exact"/>
        <w:ind w:left="420"/>
        <w:rPr>
          <w:rFonts w:ascii="黑体" w:hAnsi="黑体" w:eastAsia="黑体"/>
          <w:color w:val="000000" w:themeColor="text1"/>
          <w:szCs w:val="21"/>
        </w:rPr>
      </w:pPr>
    </w:p>
    <w:tbl>
      <w:tblPr>
        <w:tblStyle w:val="13"/>
        <w:tblW w:w="11250" w:type="dxa"/>
        <w:tblInd w:w="-1393" w:type="dxa"/>
        <w:shd w:val="clear" w:color="auto" w:fill="auto"/>
        <w:tblLayout w:type="fixed"/>
        <w:tblCellMar>
          <w:top w:w="0" w:type="dxa"/>
          <w:left w:w="0" w:type="dxa"/>
          <w:bottom w:w="0" w:type="dxa"/>
          <w:right w:w="0" w:type="dxa"/>
        </w:tblCellMar>
      </w:tblPr>
      <w:tblGrid>
        <w:gridCol w:w="540"/>
        <w:gridCol w:w="495"/>
        <w:gridCol w:w="510"/>
        <w:gridCol w:w="945"/>
        <w:gridCol w:w="555"/>
        <w:gridCol w:w="1815"/>
        <w:gridCol w:w="525"/>
        <w:gridCol w:w="525"/>
        <w:gridCol w:w="495"/>
        <w:gridCol w:w="630"/>
        <w:gridCol w:w="570"/>
        <w:gridCol w:w="540"/>
        <w:gridCol w:w="615"/>
        <w:gridCol w:w="510"/>
        <w:gridCol w:w="510"/>
        <w:gridCol w:w="510"/>
        <w:gridCol w:w="480"/>
        <w:gridCol w:w="480"/>
      </w:tblGrid>
      <w:tr w14:paraId="30C1AFDA">
        <w:tblPrEx>
          <w:tblCellMar>
            <w:top w:w="0" w:type="dxa"/>
            <w:left w:w="0" w:type="dxa"/>
            <w:bottom w:w="0" w:type="dxa"/>
            <w:right w:w="0" w:type="dxa"/>
          </w:tblCellMar>
        </w:tblPrEx>
        <w:trPr>
          <w:trHeight w:val="315"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EBC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课程性质</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B01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课程类别</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D6C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课程编码</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67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课程代码</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335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课程学分</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413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课程名称</w:t>
            </w:r>
          </w:p>
        </w:tc>
        <w:tc>
          <w:tcPr>
            <w:tcW w:w="15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5FC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课程学时</w:t>
            </w:r>
          </w:p>
        </w:tc>
        <w:tc>
          <w:tcPr>
            <w:tcW w:w="337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61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年级/学期/周学时*周数</w:t>
            </w:r>
          </w:p>
        </w:tc>
        <w:tc>
          <w:tcPr>
            <w:tcW w:w="9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6F7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考核方式</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61E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6F46736F">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D1D7B">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26BD4">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44F51">
            <w:pPr>
              <w:jc w:val="center"/>
              <w:rPr>
                <w:rFonts w:hint="eastAsia" w:ascii="宋体" w:hAnsi="宋体" w:eastAsia="宋体" w:cs="宋体"/>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1EF1F">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D8E66">
            <w:pPr>
              <w:jc w:val="center"/>
              <w:rPr>
                <w:rFonts w:hint="eastAsia" w:ascii="宋体" w:hAnsi="宋体" w:eastAsia="宋体" w:cs="宋体"/>
                <w:i w:val="0"/>
                <w:color w:val="000000"/>
                <w:sz w:val="18"/>
                <w:szCs w:val="18"/>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1043F">
            <w:pPr>
              <w:jc w:val="center"/>
              <w:rPr>
                <w:rFonts w:hint="eastAsia" w:ascii="宋体" w:hAnsi="宋体" w:eastAsia="宋体" w:cs="宋体"/>
                <w:i w:val="0"/>
                <w:color w:val="000000"/>
                <w:sz w:val="18"/>
                <w:szCs w:val="18"/>
                <w:u w:val="none"/>
              </w:rPr>
            </w:pPr>
          </w:p>
        </w:tc>
        <w:tc>
          <w:tcPr>
            <w:tcW w:w="15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CEE42">
            <w:pPr>
              <w:jc w:val="center"/>
              <w:rPr>
                <w:rFonts w:hint="eastAsia" w:ascii="宋体" w:hAnsi="宋体" w:eastAsia="宋体" w:cs="宋体"/>
                <w:i w:val="0"/>
                <w:color w:val="000000"/>
                <w:sz w:val="18"/>
                <w:szCs w:val="18"/>
                <w:u w:val="none"/>
              </w:rPr>
            </w:pPr>
          </w:p>
        </w:tc>
        <w:tc>
          <w:tcPr>
            <w:tcW w:w="337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28A91">
            <w:pPr>
              <w:jc w:val="center"/>
              <w:rPr>
                <w:rFonts w:hint="eastAsia" w:ascii="宋体" w:hAnsi="宋体" w:eastAsia="宋体" w:cs="宋体"/>
                <w:i w:val="0"/>
                <w:color w:val="000000"/>
                <w:sz w:val="18"/>
                <w:szCs w:val="18"/>
                <w:u w:val="none"/>
              </w:rPr>
            </w:pPr>
          </w:p>
        </w:tc>
        <w:tc>
          <w:tcPr>
            <w:tcW w:w="9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98917">
            <w:pPr>
              <w:jc w:val="center"/>
              <w:rPr>
                <w:rFonts w:hint="eastAsia" w:ascii="宋体" w:hAnsi="宋体" w:eastAsia="宋体" w:cs="宋体"/>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792B">
            <w:pPr>
              <w:jc w:val="center"/>
              <w:rPr>
                <w:rFonts w:hint="eastAsia" w:ascii="宋体" w:hAnsi="宋体" w:eastAsia="宋体" w:cs="宋体"/>
                <w:i w:val="0"/>
                <w:color w:val="000000"/>
                <w:sz w:val="18"/>
                <w:szCs w:val="18"/>
                <w:u w:val="none"/>
              </w:rPr>
            </w:pPr>
          </w:p>
        </w:tc>
      </w:tr>
      <w:tr w14:paraId="364118C5">
        <w:tblPrEx>
          <w:shd w:val="clear" w:color="auto" w:fill="auto"/>
          <w:tblCellMar>
            <w:top w:w="0" w:type="dxa"/>
            <w:left w:w="0" w:type="dxa"/>
            <w:bottom w:w="0" w:type="dxa"/>
            <w:right w:w="0" w:type="dxa"/>
          </w:tblCellMar>
        </w:tblPrEx>
        <w:trPr>
          <w:trHeight w:val="31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E54A6">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014D">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098A7">
            <w:pPr>
              <w:jc w:val="center"/>
              <w:rPr>
                <w:rFonts w:hint="eastAsia" w:ascii="宋体" w:hAnsi="宋体" w:eastAsia="宋体" w:cs="宋体"/>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EBC44">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B4183">
            <w:pPr>
              <w:jc w:val="center"/>
              <w:rPr>
                <w:rFonts w:hint="eastAsia" w:ascii="宋体" w:hAnsi="宋体" w:eastAsia="宋体" w:cs="宋体"/>
                <w:i w:val="0"/>
                <w:color w:val="000000"/>
                <w:sz w:val="18"/>
                <w:szCs w:val="18"/>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02B1">
            <w:pPr>
              <w:jc w:val="center"/>
              <w:rPr>
                <w:rFonts w:hint="eastAsia" w:ascii="宋体" w:hAnsi="宋体" w:eastAsia="宋体" w:cs="宋体"/>
                <w:i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E63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总学时</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388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理论学时</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986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实践学时</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423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一学年</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E99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二学年</w:t>
            </w:r>
          </w:p>
        </w:tc>
        <w:tc>
          <w:tcPr>
            <w:tcW w:w="10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E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三学年</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925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6A0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6C675">
            <w:pPr>
              <w:jc w:val="center"/>
              <w:rPr>
                <w:rFonts w:hint="eastAsia" w:ascii="宋体" w:hAnsi="宋体" w:eastAsia="宋体" w:cs="宋体"/>
                <w:i w:val="0"/>
                <w:color w:val="000000"/>
                <w:sz w:val="18"/>
                <w:szCs w:val="18"/>
                <w:u w:val="none"/>
              </w:rPr>
            </w:pPr>
          </w:p>
        </w:tc>
      </w:tr>
      <w:tr w14:paraId="61398385">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EC894">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8B854">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BD22D">
            <w:pPr>
              <w:jc w:val="center"/>
              <w:rPr>
                <w:rFonts w:hint="eastAsia" w:ascii="宋体" w:hAnsi="宋体" w:eastAsia="宋体" w:cs="宋体"/>
                <w:i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7C1C4">
            <w:pPr>
              <w:jc w:val="center"/>
              <w:rPr>
                <w:rFonts w:hint="eastAsia" w:ascii="宋体" w:hAnsi="宋体" w:eastAsia="宋体" w:cs="宋体"/>
                <w:i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41862">
            <w:pPr>
              <w:jc w:val="center"/>
              <w:rPr>
                <w:rFonts w:hint="eastAsia" w:ascii="宋体" w:hAnsi="宋体" w:eastAsia="宋体" w:cs="宋体"/>
                <w:i w:val="0"/>
                <w:color w:val="000000"/>
                <w:sz w:val="18"/>
                <w:szCs w:val="18"/>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C006C">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5E2AB">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786E3">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4D698">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C1E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B40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EAF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09C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084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D74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A7860">
            <w:pPr>
              <w:jc w:val="center"/>
              <w:rPr>
                <w:rFonts w:hint="eastAsia" w:ascii="宋体" w:hAnsi="宋体" w:eastAsia="宋体" w:cs="宋体"/>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47243">
            <w:pPr>
              <w:jc w:val="center"/>
              <w:rPr>
                <w:rFonts w:hint="eastAsia" w:ascii="宋体" w:hAnsi="宋体" w:eastAsia="宋体" w:cs="宋体"/>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F2DAF">
            <w:pPr>
              <w:jc w:val="center"/>
              <w:rPr>
                <w:rFonts w:hint="eastAsia" w:ascii="宋体" w:hAnsi="宋体" w:eastAsia="宋体" w:cs="宋体"/>
                <w:i w:val="0"/>
                <w:color w:val="000000"/>
                <w:sz w:val="18"/>
                <w:szCs w:val="18"/>
                <w:u w:val="none"/>
              </w:rPr>
            </w:pPr>
          </w:p>
        </w:tc>
      </w:tr>
      <w:tr w14:paraId="51168EEB">
        <w:tblPrEx>
          <w:shd w:val="clear" w:color="auto" w:fill="auto"/>
        </w:tblPrEx>
        <w:trPr>
          <w:trHeight w:val="705"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4A7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必修课</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61B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公共基础课</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E03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73E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1E6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CA86">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思想道德与</w:t>
            </w:r>
            <w:r>
              <w:rPr>
                <w:rFonts w:hint="eastAsia" w:ascii="宋体" w:hAnsi="宋体" w:cs="宋体"/>
                <w:i w:val="0"/>
                <w:color w:val="000000"/>
                <w:kern w:val="0"/>
                <w:sz w:val="18"/>
                <w:szCs w:val="18"/>
                <w:u w:val="none"/>
                <w:lang w:val="en-US" w:eastAsia="zh-CN" w:bidi="ar"/>
              </w:rPr>
              <w:t>法治</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4D9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A75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A7C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64E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16CBD">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3FCC5">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9086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D9C2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6FC2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25E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58325">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D30E6">
            <w:pPr>
              <w:jc w:val="center"/>
              <w:rPr>
                <w:rFonts w:hint="eastAsia" w:ascii="宋体" w:hAnsi="宋体" w:eastAsia="宋体" w:cs="宋体"/>
                <w:i w:val="0"/>
                <w:color w:val="000000"/>
                <w:sz w:val="18"/>
                <w:szCs w:val="18"/>
                <w:u w:val="none"/>
              </w:rPr>
            </w:pPr>
          </w:p>
        </w:tc>
      </w:tr>
      <w:tr w14:paraId="05F518E7">
        <w:tblPrEx>
          <w:shd w:val="clear" w:color="auto" w:fill="auto"/>
          <w:tblCellMar>
            <w:top w:w="0" w:type="dxa"/>
            <w:left w:w="0" w:type="dxa"/>
            <w:bottom w:w="0" w:type="dxa"/>
            <w:right w:w="0" w:type="dxa"/>
          </w:tblCellMar>
        </w:tblPrEx>
        <w:trPr>
          <w:trHeight w:val="9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88B8E">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BBE7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A17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56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EF9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8DD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毛泽东思想和中国特色社会主义理论体系概论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37C58">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B4CDE">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lang w:val="en-US" w:eastAsia="zh-CN" w:bidi="ar"/>
              </w:rPr>
              <w:t>24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05C7">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B8839">
            <w:pPr>
              <w:jc w:val="center"/>
              <w:rPr>
                <w:rFonts w:hint="eastAsia" w:ascii="宋体" w:hAnsi="宋体" w:eastAsia="宋体" w:cs="宋体"/>
                <w:color w:val="auto"/>
                <w:kern w:val="2"/>
                <w:sz w:val="18"/>
                <w:szCs w:val="18"/>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888F9">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lang w:bidi="ar"/>
              </w:rPr>
              <w:t>4*</w:t>
            </w:r>
            <w:r>
              <w:rPr>
                <w:rFonts w:hint="eastAsia" w:ascii="宋体" w:hAnsi="宋体" w:cs="宋体"/>
                <w:color w:val="auto"/>
                <w:kern w:val="0"/>
                <w:sz w:val="18"/>
                <w:szCs w:val="18"/>
                <w:lang w:val="en-US" w:eastAsia="zh-CN" w:bidi="ar"/>
              </w:rPr>
              <w:t>6</w:t>
            </w:r>
            <w:r>
              <w:rPr>
                <w:rFonts w:hint="eastAsia" w:ascii="宋体" w:hAnsi="宋体" w:cs="宋体"/>
                <w:color w:val="auto"/>
                <w:kern w:val="0"/>
                <w:sz w:val="18"/>
                <w:szCs w:val="18"/>
                <w:lang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6AA34">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CB11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CBDD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578B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7D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017D4">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59FBF">
            <w:pPr>
              <w:jc w:val="center"/>
              <w:rPr>
                <w:rFonts w:hint="eastAsia" w:ascii="宋体" w:hAnsi="宋体" w:eastAsia="宋体" w:cs="宋体"/>
                <w:i w:val="0"/>
                <w:color w:val="000000"/>
                <w:sz w:val="18"/>
                <w:szCs w:val="18"/>
                <w:u w:val="none"/>
              </w:rPr>
            </w:pPr>
          </w:p>
        </w:tc>
      </w:tr>
      <w:tr w14:paraId="440EDEE0">
        <w:tblPrEx>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16028">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74E2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75D21">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34C72">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240009</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DF9E4">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A80F1">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olor w:val="auto"/>
                <w:sz w:val="18"/>
                <w:szCs w:val="18"/>
                <w:lang w:val="en-US" w:eastAsia="zh-CN"/>
              </w:rPr>
              <w:t>习近平新时代中国特色社会主义思想概论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B01D9">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48</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91DDB">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40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0F28A">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ADEE">
            <w:pPr>
              <w:jc w:val="center"/>
              <w:rPr>
                <w:rFonts w:hint="eastAsia" w:ascii="宋体" w:hAnsi="宋体" w:eastAsia="宋体" w:cs="宋体"/>
                <w:color w:val="auto"/>
                <w:kern w:val="2"/>
                <w:sz w:val="18"/>
                <w:szCs w:val="18"/>
                <w:lang w:val="en-US" w:eastAsia="zh-CN" w:bidi="ar-SA"/>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EA801">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bidi="ar"/>
              </w:rPr>
              <w:t>4*1</w:t>
            </w:r>
            <w:r>
              <w:rPr>
                <w:rFonts w:hint="eastAsia" w:ascii="宋体" w:hAnsi="宋体" w:cs="宋体"/>
                <w:color w:val="auto"/>
                <w:kern w:val="0"/>
                <w:sz w:val="18"/>
                <w:szCs w:val="18"/>
                <w:lang w:val="en-US" w:eastAsia="zh-CN" w:bidi="ar"/>
              </w:rPr>
              <w:t>0</w:t>
            </w:r>
            <w:r>
              <w:rPr>
                <w:rFonts w:hint="eastAsia" w:ascii="宋体" w:hAnsi="宋体" w:cs="宋体"/>
                <w:color w:val="auto"/>
                <w:kern w:val="0"/>
                <w:sz w:val="18"/>
                <w:szCs w:val="18"/>
                <w:lang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97E55">
            <w:pPr>
              <w:jc w:val="center"/>
              <w:rPr>
                <w:rFonts w:hint="eastAsia" w:ascii="宋体" w:hAnsi="宋体" w:eastAsia="宋体" w:cs="宋体"/>
                <w:color w:val="auto"/>
                <w:kern w:val="2"/>
                <w:sz w:val="18"/>
                <w:szCs w:val="18"/>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1EC48">
            <w:pPr>
              <w:jc w:val="center"/>
              <w:rPr>
                <w:rFonts w:hint="eastAsia" w:ascii="宋体" w:hAnsi="宋体" w:eastAsia="宋体" w:cs="宋体"/>
                <w:color w:val="auto"/>
                <w:kern w:val="2"/>
                <w:sz w:val="18"/>
                <w:szCs w:val="18"/>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DA3A4">
            <w:pPr>
              <w:jc w:val="center"/>
              <w:rPr>
                <w:rFonts w:hint="eastAsia" w:ascii="宋体" w:hAnsi="宋体" w:eastAsia="宋体" w:cs="宋体"/>
                <w:color w:val="auto"/>
                <w:kern w:val="2"/>
                <w:sz w:val="18"/>
                <w:szCs w:val="18"/>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F1AB6">
            <w:pPr>
              <w:jc w:val="center"/>
              <w:rPr>
                <w:rFonts w:hint="eastAsia" w:ascii="宋体" w:hAnsi="宋体" w:eastAsia="宋体" w:cs="宋体"/>
                <w:color w:val="auto"/>
                <w:kern w:val="2"/>
                <w:sz w:val="18"/>
                <w:szCs w:val="18"/>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C20F3">
            <w:pPr>
              <w:jc w:val="center"/>
              <w:rPr>
                <w:rFonts w:hint="eastAsia" w:ascii="宋体" w:hAnsi="宋体" w:eastAsia="宋体" w:cs="宋体"/>
                <w:color w:val="auto"/>
                <w:kern w:val="2"/>
                <w:sz w:val="24"/>
                <w:szCs w:val="24"/>
                <w:lang w:val="en-US" w:eastAsia="zh-CN" w:bidi="ar-SA"/>
              </w:rPr>
            </w:pPr>
            <w:r>
              <w:rPr>
                <w:rFonts w:hint="default" w:ascii="Arial" w:hAnsi="Arial" w:cs="Arial"/>
                <w:color w:val="auto"/>
                <w:sz w:val="24"/>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5C3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39DA1">
            <w:pPr>
              <w:jc w:val="center"/>
              <w:rPr>
                <w:rFonts w:hint="eastAsia" w:ascii="宋体" w:hAnsi="宋体" w:eastAsia="宋体" w:cs="宋体"/>
                <w:i w:val="0"/>
                <w:color w:val="000000"/>
                <w:sz w:val="18"/>
                <w:szCs w:val="18"/>
                <w:u w:val="none"/>
              </w:rPr>
            </w:pPr>
          </w:p>
        </w:tc>
      </w:tr>
      <w:tr w14:paraId="5850EE00">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65089">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A09F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801C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D01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240004-240007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F5B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F6C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形势与政策</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B69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EF8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4ACED">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74E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451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DFC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783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3EA1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EBFF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E8693">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8B4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C3C9D">
            <w:pPr>
              <w:jc w:val="center"/>
              <w:rPr>
                <w:rFonts w:hint="eastAsia" w:ascii="宋体" w:hAnsi="宋体" w:eastAsia="宋体" w:cs="宋体"/>
                <w:i w:val="0"/>
                <w:color w:val="000000"/>
                <w:sz w:val="18"/>
                <w:szCs w:val="18"/>
                <w:u w:val="none"/>
              </w:rPr>
            </w:pPr>
          </w:p>
        </w:tc>
      </w:tr>
      <w:tr w14:paraId="5142D8E3">
        <w:tblPrEx>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9DC89">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68E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FB52D">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C39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16B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69C9">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职业</w:t>
            </w:r>
            <w:r>
              <w:rPr>
                <w:rFonts w:hint="eastAsia" w:ascii="宋体" w:hAnsi="宋体" w:cs="宋体"/>
                <w:i w:val="0"/>
                <w:color w:val="000000"/>
                <w:kern w:val="0"/>
                <w:sz w:val="18"/>
                <w:szCs w:val="18"/>
                <w:u w:val="none"/>
                <w:lang w:val="en-US" w:eastAsia="zh-CN" w:bidi="ar"/>
              </w:rPr>
              <w:t>生涯规划</w:t>
            </w:r>
          </w:p>
        </w:tc>
        <w:tc>
          <w:tcPr>
            <w:tcW w:w="5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42A1E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43469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179B0E5">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BB035">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FDF87">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33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289F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6C6E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3859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7E736">
            <w:pPr>
              <w:jc w:val="center"/>
              <w:rPr>
                <w:rFonts w:hint="eastAsia" w:ascii="宋体" w:hAnsi="宋体" w:eastAsia="宋体" w:cs="宋体"/>
                <w:i w:val="0"/>
                <w:color w:val="000000"/>
                <w:sz w:val="18"/>
                <w:szCs w:val="18"/>
                <w:u w:val="none"/>
              </w:rPr>
            </w:pPr>
          </w:p>
        </w:tc>
        <w:tc>
          <w:tcPr>
            <w:tcW w:w="4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7F819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70EF3">
            <w:pPr>
              <w:jc w:val="center"/>
              <w:rPr>
                <w:rFonts w:hint="eastAsia" w:ascii="宋体" w:hAnsi="宋体" w:eastAsia="宋体" w:cs="宋体"/>
                <w:i w:val="0"/>
                <w:color w:val="000000"/>
                <w:sz w:val="18"/>
                <w:szCs w:val="18"/>
                <w:u w:val="none"/>
              </w:rPr>
            </w:pPr>
          </w:p>
        </w:tc>
      </w:tr>
      <w:tr w14:paraId="317A65F1">
        <w:tblPrEx>
          <w:shd w:val="clear" w:color="auto" w:fill="auto"/>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1FFD4">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0827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FD071">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4D78F">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310019</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7D07D">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09D6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就业指导</w:t>
            </w:r>
          </w:p>
        </w:tc>
        <w:tc>
          <w:tcPr>
            <w:tcW w:w="5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0FFD7">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01F6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9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732EF">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7DB24">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3BE2C">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BEE9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8ACA">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1D29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0CC0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56D67">
            <w:pPr>
              <w:jc w:val="center"/>
              <w:rPr>
                <w:rFonts w:hint="eastAsia" w:ascii="宋体" w:hAnsi="宋体" w:eastAsia="宋体" w:cs="宋体"/>
                <w:i w:val="0"/>
                <w:color w:val="000000"/>
                <w:sz w:val="18"/>
                <w:szCs w:val="18"/>
                <w:u w:val="none"/>
              </w:rPr>
            </w:pPr>
          </w:p>
        </w:tc>
        <w:tc>
          <w:tcPr>
            <w:tcW w:w="4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7132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71698">
            <w:pPr>
              <w:jc w:val="center"/>
              <w:rPr>
                <w:rFonts w:hint="eastAsia" w:ascii="宋体" w:hAnsi="宋体" w:eastAsia="宋体" w:cs="宋体"/>
                <w:i w:val="0"/>
                <w:color w:val="000000"/>
                <w:sz w:val="18"/>
                <w:szCs w:val="18"/>
                <w:u w:val="none"/>
              </w:rPr>
            </w:pPr>
          </w:p>
        </w:tc>
      </w:tr>
      <w:tr w14:paraId="73ABBA66">
        <w:tblPrEx>
          <w:shd w:val="clear" w:color="auto" w:fill="auto"/>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28891">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08E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25403">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E6B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CCE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41E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创新创业教育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A97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89F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8A843">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BAAEB">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3C24D">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ABA73">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0AA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1FF7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952F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C235A">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BBF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2CDBB">
            <w:pPr>
              <w:jc w:val="center"/>
              <w:rPr>
                <w:rFonts w:hint="eastAsia" w:ascii="宋体" w:hAnsi="宋体" w:eastAsia="宋体" w:cs="宋体"/>
                <w:i w:val="0"/>
                <w:color w:val="000000"/>
                <w:sz w:val="18"/>
                <w:szCs w:val="18"/>
                <w:u w:val="none"/>
              </w:rPr>
            </w:pPr>
          </w:p>
        </w:tc>
      </w:tr>
      <w:tr w14:paraId="639AEC04">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5126C">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2159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729D2">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3D6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310007-310010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51C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A3E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7AA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F21A7">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81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521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7F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1F2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884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8383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C669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6C3B1">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88F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DAE96">
            <w:pPr>
              <w:jc w:val="center"/>
              <w:rPr>
                <w:rFonts w:hint="eastAsia" w:ascii="宋体" w:hAnsi="宋体" w:eastAsia="宋体" w:cs="宋体"/>
                <w:i w:val="0"/>
                <w:color w:val="000000"/>
                <w:sz w:val="18"/>
                <w:szCs w:val="18"/>
                <w:u w:val="none"/>
              </w:rPr>
            </w:pPr>
          </w:p>
        </w:tc>
      </w:tr>
      <w:tr w14:paraId="1BFFE7E9">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E6252">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12DBA">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C4996">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01C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230001-230004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283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876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体育与健康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CF8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F4700">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019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83E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871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865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837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F25A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199A7">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1D55">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590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31665">
            <w:pPr>
              <w:jc w:val="center"/>
              <w:rPr>
                <w:rFonts w:hint="eastAsia" w:ascii="宋体" w:hAnsi="宋体" w:eastAsia="宋体" w:cs="宋体"/>
                <w:i w:val="0"/>
                <w:color w:val="000000"/>
                <w:sz w:val="18"/>
                <w:szCs w:val="18"/>
                <w:u w:val="none"/>
              </w:rPr>
            </w:pPr>
          </w:p>
        </w:tc>
      </w:tr>
      <w:tr w14:paraId="172F7F6B">
        <w:tblPrEx>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B4B10">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84C0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8ED8B">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44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EE3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48A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中华优秀传统文化</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973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350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2D6BA">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A1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3B46C">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F4AF1">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959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98567">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ABEC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E07D">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F82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0D5E">
            <w:pPr>
              <w:jc w:val="center"/>
              <w:rPr>
                <w:rFonts w:hint="eastAsia" w:ascii="宋体" w:hAnsi="宋体" w:eastAsia="宋体" w:cs="宋体"/>
                <w:i w:val="0"/>
                <w:color w:val="000000"/>
                <w:sz w:val="18"/>
                <w:szCs w:val="18"/>
                <w:u w:val="none"/>
              </w:rPr>
            </w:pPr>
          </w:p>
        </w:tc>
      </w:tr>
      <w:tr w14:paraId="1015A616">
        <w:tblPrEx>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A070A">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C216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52893">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929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58F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B78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大学语文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851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C5A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C6139">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66E0">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3EC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9C2FD">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6351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6EAF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3A50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CF0E">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1C9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04FC6">
            <w:pPr>
              <w:jc w:val="center"/>
              <w:rPr>
                <w:rFonts w:hint="eastAsia" w:ascii="宋体" w:hAnsi="宋体" w:eastAsia="宋体" w:cs="宋体"/>
                <w:i w:val="0"/>
                <w:color w:val="000000"/>
                <w:sz w:val="18"/>
                <w:szCs w:val="18"/>
                <w:u w:val="none"/>
              </w:rPr>
            </w:pPr>
          </w:p>
        </w:tc>
      </w:tr>
      <w:tr w14:paraId="60D90BA4">
        <w:tblPrEx>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A064A">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BC8D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E9039">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182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220001-220002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7C6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4F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实用英语</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EF6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D18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3FC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5F3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0FD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18282">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B968A">
            <w:pPr>
              <w:jc w:val="center"/>
              <w:rPr>
                <w:rFonts w:hint="eastAsia" w:ascii="宋体" w:hAnsi="宋体" w:eastAsia="宋体" w:cs="宋体"/>
                <w:b/>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1F36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08E5E">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77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B6314">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EB5B3">
            <w:pPr>
              <w:jc w:val="center"/>
              <w:rPr>
                <w:rFonts w:hint="eastAsia" w:ascii="宋体" w:hAnsi="宋体" w:eastAsia="宋体" w:cs="宋体"/>
                <w:i w:val="0"/>
                <w:color w:val="000000"/>
                <w:sz w:val="18"/>
                <w:szCs w:val="18"/>
                <w:u w:val="none"/>
              </w:rPr>
            </w:pPr>
          </w:p>
        </w:tc>
      </w:tr>
      <w:tr w14:paraId="7CA3784D">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2966D">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FA12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EE16E">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2B6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6DC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5ED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应用数学</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967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5AC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2668">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FC2BC9">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3B8F5">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B55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E8C7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6656E">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3612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22E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11D41">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67ECE">
            <w:pPr>
              <w:jc w:val="center"/>
              <w:rPr>
                <w:rFonts w:hint="eastAsia" w:ascii="宋体" w:hAnsi="宋体" w:eastAsia="宋体" w:cs="宋体"/>
                <w:i w:val="0"/>
                <w:color w:val="000000"/>
                <w:sz w:val="18"/>
                <w:szCs w:val="18"/>
                <w:u w:val="none"/>
              </w:rPr>
            </w:pPr>
          </w:p>
        </w:tc>
      </w:tr>
      <w:tr w14:paraId="14AC21D8">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D74DB">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2730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033FE">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0C2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F0C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295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信息技术</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57508">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48</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EABC6">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AECF5">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E67ED89">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589A8">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4A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highlight w:val="none"/>
                <w:u w:val="none"/>
                <w:lang w:val="en-US" w:eastAsia="zh-CN" w:bidi="ar"/>
              </w:rPr>
              <w:t>3</w:t>
            </w:r>
            <w:r>
              <w:rPr>
                <w:rFonts w:hint="eastAsia" w:ascii="宋体" w:hAnsi="宋体" w:eastAsia="宋体" w:cs="宋体"/>
                <w:i w:val="0"/>
                <w:color w:val="000000"/>
                <w:kern w:val="0"/>
                <w:sz w:val="18"/>
                <w:szCs w:val="18"/>
                <w:highlight w:val="none"/>
                <w:u w:val="none"/>
                <w:lang w:val="en-US" w:eastAsia="zh-CN" w:bidi="ar"/>
              </w:rPr>
              <w:t>*16周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BC9E">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891BE">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53E9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BFF1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D30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FC01D">
            <w:pPr>
              <w:jc w:val="center"/>
              <w:rPr>
                <w:rFonts w:hint="eastAsia" w:ascii="宋体" w:hAnsi="宋体" w:eastAsia="宋体" w:cs="宋体"/>
                <w:i w:val="0"/>
                <w:color w:val="000000"/>
                <w:sz w:val="18"/>
                <w:szCs w:val="18"/>
                <w:u w:val="none"/>
              </w:rPr>
            </w:pPr>
          </w:p>
        </w:tc>
      </w:tr>
      <w:tr w14:paraId="798D5D80">
        <w:tblPrEx>
          <w:shd w:val="clear" w:color="auto" w:fill="auto"/>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83CFB">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194A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DDFA2">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FB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B94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DF8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心理健康教育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914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66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F8EC5">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6AF1">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77C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B938B">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6305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1028A">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AE8D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02440">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F86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56C41">
            <w:pPr>
              <w:jc w:val="center"/>
              <w:rPr>
                <w:rFonts w:hint="eastAsia" w:ascii="宋体" w:hAnsi="宋体" w:eastAsia="宋体" w:cs="宋体"/>
                <w:i w:val="0"/>
                <w:color w:val="000000"/>
                <w:sz w:val="18"/>
                <w:szCs w:val="18"/>
                <w:u w:val="none"/>
              </w:rPr>
            </w:pPr>
          </w:p>
        </w:tc>
      </w:tr>
      <w:tr w14:paraId="57FDF014">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BB698">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E34A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056C4">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337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49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8DA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国歌诵唱</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6DC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47673">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731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ED4B">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88BA3">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0408E">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02F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BB91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3531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42D4F">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DA1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24392">
            <w:pPr>
              <w:jc w:val="center"/>
              <w:rPr>
                <w:rFonts w:hint="eastAsia" w:ascii="宋体" w:hAnsi="宋体" w:eastAsia="宋体" w:cs="宋体"/>
                <w:i w:val="0"/>
                <w:color w:val="000000"/>
                <w:sz w:val="18"/>
                <w:szCs w:val="18"/>
                <w:u w:val="none"/>
              </w:rPr>
            </w:pPr>
          </w:p>
        </w:tc>
      </w:tr>
      <w:tr w14:paraId="37419910">
        <w:tblPrEx>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FF6CF">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615FA">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F8283">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B2E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310002-310003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466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613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劳动教育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01E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3ED71">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38C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D5B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50A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039D7">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3205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299A">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61E1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F203E">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A16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84D35">
            <w:pPr>
              <w:jc w:val="center"/>
              <w:rPr>
                <w:rFonts w:hint="eastAsia" w:ascii="宋体" w:hAnsi="宋体" w:eastAsia="宋体" w:cs="宋体"/>
                <w:i w:val="0"/>
                <w:color w:val="000000"/>
                <w:sz w:val="18"/>
                <w:szCs w:val="18"/>
                <w:u w:val="none"/>
              </w:rPr>
            </w:pPr>
          </w:p>
        </w:tc>
      </w:tr>
      <w:tr w14:paraId="4572D3A2">
        <w:tblPrEx>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BB224">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4061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022E0">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989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F46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9A8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军事理论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17B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BE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4CB4C">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1E795">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76460">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B00E0">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8EF8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A899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A454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8A425">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B31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1F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网络视频课</w:t>
            </w:r>
          </w:p>
        </w:tc>
      </w:tr>
      <w:tr w14:paraId="77F68970">
        <w:tblPrEx>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AF793">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552F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311C8">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082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50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F7B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入学教育与安全教育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76D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E50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00DBD">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97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23C28">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5A6A1">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5A12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79BB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717A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1D439">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D15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130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实践</w:t>
            </w:r>
          </w:p>
        </w:tc>
      </w:tr>
      <w:tr w14:paraId="383A8AC2">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7D07A">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7CD6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1CC08">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4F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46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705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军事技能</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9E0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9EF3">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1F5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46F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8*14天</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8E629">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20772">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56FF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4C52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F36D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5BFD2">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0E4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6D5BE">
            <w:pPr>
              <w:jc w:val="center"/>
              <w:rPr>
                <w:rFonts w:hint="eastAsia" w:ascii="宋体" w:hAnsi="宋体" w:eastAsia="宋体" w:cs="宋体"/>
                <w:i w:val="0"/>
                <w:color w:val="000000"/>
                <w:sz w:val="18"/>
                <w:szCs w:val="18"/>
                <w:u w:val="none"/>
              </w:rPr>
            </w:pPr>
          </w:p>
        </w:tc>
      </w:tr>
      <w:tr w14:paraId="7BF7298C">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26729">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CECC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C8359">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21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99C5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310017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E976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1176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音乐鉴赏</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0496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CB923">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D15E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7ABB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4*8</w:t>
            </w:r>
            <w:r>
              <w:rPr>
                <w:rFonts w:hint="eastAsia" w:ascii="宋体" w:hAnsi="宋体" w:cs="宋体"/>
                <w:b w:val="0"/>
                <w:bCs w:val="0"/>
                <w:i w:val="0"/>
                <w:iCs w:val="0"/>
                <w:color w:val="000000"/>
                <w:kern w:val="0"/>
                <w:sz w:val="18"/>
                <w:szCs w:val="18"/>
                <w:u w:val="none"/>
                <w:lang w:val="en-US" w:eastAsia="zh-CN" w:bidi="ar"/>
              </w:rPr>
              <w:t>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212E2">
            <w:pPr>
              <w:jc w:val="center"/>
              <w:rPr>
                <w:rFonts w:hint="eastAsia" w:ascii="宋体" w:hAnsi="宋体" w:eastAsia="宋体" w:cs="宋体"/>
                <w:i w:val="0"/>
                <w:color w:val="000000"/>
                <w:kern w:val="2"/>
                <w:sz w:val="18"/>
                <w:szCs w:val="18"/>
                <w:u w:val="no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C4ADB">
            <w:pPr>
              <w:jc w:val="center"/>
              <w:rPr>
                <w:rFonts w:hint="eastAsia" w:ascii="宋体" w:hAnsi="宋体" w:eastAsia="宋体" w:cs="宋体"/>
                <w:i w:val="0"/>
                <w:color w:val="000000"/>
                <w:kern w:val="2"/>
                <w:sz w:val="18"/>
                <w:szCs w:val="18"/>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AAA9C">
            <w:pPr>
              <w:jc w:val="center"/>
              <w:rPr>
                <w:rFonts w:hint="eastAsia" w:ascii="宋体" w:hAnsi="宋体" w:eastAsia="宋体" w:cs="宋体"/>
                <w:i w:val="0"/>
                <w:color w:val="000000"/>
                <w:kern w:val="2"/>
                <w:sz w:val="18"/>
                <w:szCs w:val="18"/>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38708">
            <w:pPr>
              <w:jc w:val="center"/>
              <w:rPr>
                <w:rFonts w:hint="eastAsia" w:ascii="宋体" w:hAnsi="宋体" w:eastAsia="宋体" w:cs="宋体"/>
                <w:i w:val="0"/>
                <w:color w:val="000000"/>
                <w:kern w:val="2"/>
                <w:sz w:val="18"/>
                <w:szCs w:val="18"/>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6914F">
            <w:pPr>
              <w:jc w:val="center"/>
              <w:rPr>
                <w:rFonts w:hint="eastAsia" w:ascii="宋体" w:hAnsi="宋体" w:eastAsia="宋体" w:cs="宋体"/>
                <w:i w:val="0"/>
                <w:color w:val="000000"/>
                <w:kern w:val="2"/>
                <w:sz w:val="18"/>
                <w:szCs w:val="18"/>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BA739">
            <w:pPr>
              <w:jc w:val="center"/>
              <w:rPr>
                <w:rFonts w:hint="eastAsia" w:ascii="宋体" w:hAnsi="宋体" w:eastAsia="宋体" w:cs="宋体"/>
                <w:i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0A28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DA470">
            <w:pPr>
              <w:jc w:val="center"/>
              <w:rPr>
                <w:rFonts w:hint="eastAsia" w:ascii="宋体" w:hAnsi="宋体" w:eastAsia="宋体" w:cs="宋体"/>
                <w:i w:val="0"/>
                <w:color w:val="000000"/>
                <w:kern w:val="2"/>
                <w:sz w:val="18"/>
                <w:szCs w:val="18"/>
                <w:u w:val="none"/>
                <w:lang w:val="en-US" w:eastAsia="zh-CN" w:bidi="ar-SA"/>
              </w:rPr>
            </w:pPr>
          </w:p>
        </w:tc>
      </w:tr>
      <w:tr w14:paraId="2DD4624F">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4FB8A">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76FF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B551D">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61DF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310018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BCE6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7E0D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国家安全教育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382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AB478">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4A20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2319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w:t>
            </w:r>
            <w:r>
              <w:rPr>
                <w:rFonts w:hint="eastAsia" w:ascii="宋体" w:hAnsi="宋体" w:cs="宋体"/>
                <w:b w:val="0"/>
                <w:bCs w:val="0"/>
                <w:i w:val="0"/>
                <w:iCs w:val="0"/>
                <w:color w:val="000000"/>
                <w:kern w:val="0"/>
                <w:sz w:val="18"/>
                <w:szCs w:val="18"/>
                <w:u w:val="none"/>
                <w:lang w:val="en-US" w:eastAsia="zh-CN" w:bidi="ar"/>
              </w:rPr>
              <w:t>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A09E0">
            <w:pPr>
              <w:jc w:val="center"/>
              <w:rPr>
                <w:rFonts w:hint="eastAsia" w:ascii="宋体" w:hAnsi="宋体" w:eastAsia="宋体" w:cs="宋体"/>
                <w:i w:val="0"/>
                <w:color w:val="000000"/>
                <w:kern w:val="2"/>
                <w:sz w:val="18"/>
                <w:szCs w:val="18"/>
                <w:u w:val="no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3BF2A">
            <w:pPr>
              <w:jc w:val="center"/>
              <w:rPr>
                <w:rFonts w:hint="eastAsia" w:ascii="宋体" w:hAnsi="宋体" w:eastAsia="宋体" w:cs="宋体"/>
                <w:i w:val="0"/>
                <w:color w:val="000000"/>
                <w:kern w:val="2"/>
                <w:sz w:val="18"/>
                <w:szCs w:val="18"/>
                <w:u w:val="none"/>
                <w:lang w:val="en-US" w:eastAsia="zh-CN" w:bidi="ar-SA"/>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DA482">
            <w:pPr>
              <w:jc w:val="center"/>
              <w:rPr>
                <w:rFonts w:hint="eastAsia" w:ascii="宋体" w:hAnsi="宋体" w:eastAsia="宋体" w:cs="宋体"/>
                <w:i w:val="0"/>
                <w:color w:val="000000"/>
                <w:kern w:val="2"/>
                <w:sz w:val="18"/>
                <w:szCs w:val="18"/>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05671">
            <w:pPr>
              <w:jc w:val="center"/>
              <w:rPr>
                <w:rFonts w:hint="eastAsia" w:ascii="宋体" w:hAnsi="宋体" w:eastAsia="宋体" w:cs="宋体"/>
                <w:i w:val="0"/>
                <w:color w:val="000000"/>
                <w:kern w:val="2"/>
                <w:sz w:val="18"/>
                <w:szCs w:val="18"/>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3C4B5">
            <w:pPr>
              <w:jc w:val="center"/>
              <w:rPr>
                <w:rFonts w:hint="eastAsia" w:ascii="宋体" w:hAnsi="宋体" w:eastAsia="宋体" w:cs="宋体"/>
                <w:i w:val="0"/>
                <w:color w:val="000000"/>
                <w:kern w:val="2"/>
                <w:sz w:val="18"/>
                <w:szCs w:val="18"/>
                <w:u w:val="none"/>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326B2">
            <w:pPr>
              <w:jc w:val="center"/>
              <w:rPr>
                <w:rFonts w:hint="eastAsia" w:ascii="宋体" w:hAnsi="宋体" w:eastAsia="宋体" w:cs="宋体"/>
                <w:i w:val="0"/>
                <w:color w:val="000000"/>
                <w:kern w:val="2"/>
                <w:sz w:val="18"/>
                <w:szCs w:val="18"/>
                <w:u w:val="none"/>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9E23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05E7A">
            <w:pPr>
              <w:jc w:val="center"/>
              <w:rPr>
                <w:rFonts w:hint="eastAsia" w:ascii="宋体" w:hAnsi="宋体" w:eastAsia="宋体" w:cs="宋体"/>
                <w:i w:val="0"/>
                <w:color w:val="000000"/>
                <w:kern w:val="2"/>
                <w:sz w:val="18"/>
                <w:szCs w:val="18"/>
                <w:u w:val="none"/>
                <w:lang w:val="en-US" w:eastAsia="zh-CN" w:bidi="ar-SA"/>
              </w:rPr>
            </w:pPr>
          </w:p>
        </w:tc>
      </w:tr>
      <w:tr w14:paraId="2555A444">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75B51">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DF69A">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02786">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692F7">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DE3C1">
            <w:pPr>
              <w:jc w:val="center"/>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AFC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0C71A">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71349">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0D91C">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512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DD2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B2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CB943">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4CC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97C8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A822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147DC">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E37AC">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9F330">
            <w:pPr>
              <w:jc w:val="center"/>
              <w:rPr>
                <w:rFonts w:hint="eastAsia" w:ascii="宋体" w:hAnsi="宋体" w:eastAsia="宋体" w:cs="宋体"/>
                <w:i w:val="0"/>
                <w:color w:val="000000"/>
                <w:sz w:val="18"/>
                <w:szCs w:val="18"/>
                <w:u w:val="none"/>
              </w:rPr>
            </w:pPr>
          </w:p>
        </w:tc>
      </w:tr>
      <w:tr w14:paraId="6ED43A4D">
        <w:tblPrEx>
          <w:tblCellMar>
            <w:top w:w="0" w:type="dxa"/>
            <w:left w:w="0" w:type="dxa"/>
            <w:bottom w:w="0" w:type="dxa"/>
            <w:right w:w="0" w:type="dxa"/>
          </w:tblCellMar>
        </w:tblPrEx>
        <w:trPr>
          <w:trHeight w:val="31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3F0D0">
            <w:pPr>
              <w:jc w:val="center"/>
              <w:rPr>
                <w:rFonts w:hint="eastAsia" w:ascii="宋体" w:hAnsi="宋体" w:eastAsia="宋体" w:cs="宋体"/>
                <w:i w:val="0"/>
                <w:color w:val="000000"/>
                <w:sz w:val="18"/>
                <w:szCs w:val="18"/>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7D7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专业课</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1D5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ED6235A">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BDC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8D8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经济学基础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B21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91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7D29A">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3DD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BFCCE">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37FF7">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831D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8061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07DA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C22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5B050">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11624">
            <w:pPr>
              <w:jc w:val="center"/>
              <w:rPr>
                <w:rFonts w:hint="eastAsia" w:ascii="宋体" w:hAnsi="宋体" w:eastAsia="宋体" w:cs="宋体"/>
                <w:i w:val="0"/>
                <w:color w:val="000000"/>
                <w:sz w:val="18"/>
                <w:szCs w:val="18"/>
                <w:u w:val="none"/>
              </w:rPr>
            </w:pPr>
          </w:p>
        </w:tc>
      </w:tr>
      <w:tr w14:paraId="663BB4AD">
        <w:tblPrEx>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74FCC">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99D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77E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D8A122">
            <w:pPr>
              <w:keepNext w:val="0"/>
              <w:keepLines w:val="0"/>
              <w:widowControl/>
              <w:suppressLineNumbers w:val="0"/>
              <w:jc w:val="center"/>
              <w:textAlignment w:val="bottom"/>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051070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2BF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63E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金融学基础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3B3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7AD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A996C">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6B2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6B5E0">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A4F8E">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0F86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09A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288F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71E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00405">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0330A">
            <w:pPr>
              <w:jc w:val="center"/>
              <w:rPr>
                <w:rFonts w:hint="eastAsia" w:ascii="宋体" w:hAnsi="宋体" w:eastAsia="宋体" w:cs="宋体"/>
                <w:i w:val="0"/>
                <w:color w:val="000000"/>
                <w:sz w:val="18"/>
                <w:szCs w:val="18"/>
                <w:u w:val="none"/>
              </w:rPr>
            </w:pPr>
          </w:p>
        </w:tc>
      </w:tr>
      <w:tr w14:paraId="78270A82">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C4B4A">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077F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AE6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D73491">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051019</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4EE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049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基础会计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E2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341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DAB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7CF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7CF37">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FA6E5">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3F2B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E9A7">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979A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13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60CF3">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10EC">
            <w:pPr>
              <w:jc w:val="center"/>
              <w:rPr>
                <w:rFonts w:hint="eastAsia" w:ascii="宋体" w:hAnsi="宋体" w:eastAsia="宋体" w:cs="宋体"/>
                <w:i w:val="0"/>
                <w:color w:val="000000"/>
                <w:sz w:val="18"/>
                <w:szCs w:val="18"/>
                <w:u w:val="none"/>
              </w:rPr>
            </w:pPr>
          </w:p>
        </w:tc>
      </w:tr>
      <w:tr w14:paraId="5DCD86F0">
        <w:tblPrEx>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43659">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DF8E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01B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8006011">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051058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8AB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946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金融服务礼仪★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60E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59E3">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CEF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BD4CE">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5EB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C9BD9">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BE51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592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DD43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CE3C9">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BCC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F4ABE">
            <w:pPr>
              <w:jc w:val="center"/>
              <w:rPr>
                <w:rFonts w:hint="eastAsia" w:ascii="宋体" w:hAnsi="宋体" w:eastAsia="宋体" w:cs="宋体"/>
                <w:i w:val="0"/>
                <w:color w:val="000000"/>
                <w:sz w:val="18"/>
                <w:szCs w:val="18"/>
                <w:u w:val="none"/>
              </w:rPr>
            </w:pPr>
          </w:p>
        </w:tc>
      </w:tr>
      <w:tr w14:paraId="71FEE485">
        <w:tblPrEx>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B413A">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88D6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C71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BF2668">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F7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96F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商业银行经营管理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E06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7AD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4934D">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A2DA8">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B2F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211C3">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3799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AD43E">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CAC5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ED8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FAFE5">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E29C7">
            <w:pPr>
              <w:jc w:val="center"/>
              <w:rPr>
                <w:rFonts w:hint="eastAsia" w:ascii="宋体" w:hAnsi="宋体" w:eastAsia="宋体" w:cs="宋体"/>
                <w:i w:val="0"/>
                <w:color w:val="000000"/>
                <w:sz w:val="18"/>
                <w:szCs w:val="18"/>
                <w:u w:val="none"/>
              </w:rPr>
            </w:pPr>
          </w:p>
        </w:tc>
      </w:tr>
      <w:tr w14:paraId="1D6936FC">
        <w:tblPrEx>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6FB87">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8896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C2B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AD8320">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051059</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638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C99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金融服务营销★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2DE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F03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4D3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2EA0C">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9B3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35792">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13E5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4B71E">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1C51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023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1F9F9">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1C4C2">
            <w:pPr>
              <w:jc w:val="center"/>
              <w:rPr>
                <w:rFonts w:hint="eastAsia" w:ascii="宋体" w:hAnsi="宋体" w:eastAsia="宋体" w:cs="宋体"/>
                <w:i w:val="0"/>
                <w:color w:val="000000"/>
                <w:sz w:val="18"/>
                <w:szCs w:val="18"/>
                <w:u w:val="none"/>
              </w:rPr>
            </w:pPr>
          </w:p>
        </w:tc>
      </w:tr>
      <w:tr w14:paraId="02FE4892">
        <w:tblPrEx>
          <w:shd w:val="clear" w:color="auto" w:fill="auto"/>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EB780">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D402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B91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DE53367">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051020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169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9B5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保险理论与实务★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80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0B5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1A1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D76CC">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F4278">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E33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370787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63D2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C093E">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AC4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27243">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E3319">
            <w:pPr>
              <w:jc w:val="center"/>
              <w:rPr>
                <w:rFonts w:hint="eastAsia" w:ascii="宋体" w:hAnsi="宋体" w:eastAsia="宋体" w:cs="宋体"/>
                <w:i w:val="0"/>
                <w:color w:val="000000"/>
                <w:sz w:val="18"/>
                <w:szCs w:val="18"/>
                <w:u w:val="none"/>
              </w:rPr>
            </w:pPr>
          </w:p>
        </w:tc>
      </w:tr>
      <w:tr w14:paraId="68BD073E">
        <w:tblPrEx>
          <w:shd w:val="clear" w:color="auto" w:fill="auto"/>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12726">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C893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6CE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3734E6">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051022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FBD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245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证券投资理论与实务★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D77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A7C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7C7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58318">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445C7">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73E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94B3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D3CF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D4A1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AEF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1F920">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3183A">
            <w:pPr>
              <w:jc w:val="center"/>
              <w:rPr>
                <w:rFonts w:hint="eastAsia" w:ascii="宋体" w:hAnsi="宋体" w:eastAsia="宋体" w:cs="宋体"/>
                <w:i w:val="0"/>
                <w:color w:val="000000"/>
                <w:sz w:val="18"/>
                <w:szCs w:val="18"/>
                <w:u w:val="none"/>
              </w:rPr>
            </w:pPr>
          </w:p>
        </w:tc>
      </w:tr>
      <w:tr w14:paraId="605E490C">
        <w:tblPrEx>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90929">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727E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165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2C379E">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051021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DE6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F8F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个人理财★</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03D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D12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31B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8F304">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BCD4E">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4495">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D0E7E">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4*18周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9561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CFE0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AAC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03BAB">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D4571">
            <w:pPr>
              <w:jc w:val="center"/>
              <w:rPr>
                <w:rFonts w:hint="eastAsia" w:ascii="宋体" w:hAnsi="宋体" w:eastAsia="宋体" w:cs="宋体"/>
                <w:i w:val="0"/>
                <w:color w:val="000000"/>
                <w:sz w:val="18"/>
                <w:szCs w:val="18"/>
                <w:u w:val="none"/>
              </w:rPr>
            </w:pPr>
          </w:p>
        </w:tc>
      </w:tr>
      <w:tr w14:paraId="7F38A051">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B1160">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4EFC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104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7CFDE86">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051023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33E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19E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风险管理★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01E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E8A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89D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AD61">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85F92">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B4F7A3">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438A1">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A503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9246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5F6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A5223">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DF64D">
            <w:pPr>
              <w:jc w:val="center"/>
              <w:rPr>
                <w:rFonts w:hint="eastAsia" w:ascii="宋体" w:hAnsi="宋体" w:eastAsia="宋体" w:cs="宋体"/>
                <w:i w:val="0"/>
                <w:color w:val="000000"/>
                <w:sz w:val="18"/>
                <w:szCs w:val="18"/>
                <w:u w:val="none"/>
              </w:rPr>
            </w:pPr>
          </w:p>
        </w:tc>
      </w:tr>
      <w:tr w14:paraId="27A3C69D">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459C4">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A40F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35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3E4A3E">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051024</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C1E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416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汽车金融</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67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398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F46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AF2B">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6B617">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98C31C3">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FD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039D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81E3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D12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34152">
            <w:pPr>
              <w:jc w:val="left"/>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E0268">
            <w:pPr>
              <w:jc w:val="center"/>
              <w:rPr>
                <w:rFonts w:hint="eastAsia" w:ascii="宋体" w:hAnsi="宋体" w:eastAsia="宋体" w:cs="宋体"/>
                <w:i w:val="0"/>
                <w:color w:val="000000"/>
                <w:sz w:val="18"/>
                <w:szCs w:val="18"/>
                <w:u w:val="none"/>
              </w:rPr>
            </w:pPr>
          </w:p>
        </w:tc>
      </w:tr>
      <w:tr w14:paraId="6B595632">
        <w:tblPrEx>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8B13A">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78DBA">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BC0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76ED095">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051009</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1D7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0FB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市场调查与预测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4C4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FD6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BBC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52042">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164C8">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D94B2">
            <w:pPr>
              <w:jc w:val="left"/>
              <w:rPr>
                <w:rFonts w:hint="eastAsia" w:ascii="宋体" w:hAnsi="宋体" w:eastAsia="宋体" w:cs="宋体"/>
                <w:i w:val="0"/>
                <w:color w:val="000000"/>
                <w:sz w:val="24"/>
                <w:szCs w:val="24"/>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45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CABA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33B3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416B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A02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91039">
            <w:pPr>
              <w:jc w:val="left"/>
              <w:rPr>
                <w:rFonts w:hint="eastAsia" w:ascii="宋体" w:hAnsi="宋体" w:eastAsia="宋体" w:cs="宋体"/>
                <w:i w:val="0"/>
                <w:color w:val="000000"/>
                <w:sz w:val="24"/>
                <w:szCs w:val="24"/>
                <w:u w:val="none"/>
              </w:rPr>
            </w:pPr>
          </w:p>
        </w:tc>
      </w:tr>
      <w:tr w14:paraId="021952AC">
        <w:tblPrEx>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7602">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8017">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94A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652487">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0138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A0D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认识</w:t>
            </w:r>
            <w:r>
              <w:rPr>
                <w:rFonts w:hint="eastAsia" w:ascii="宋体" w:hAnsi="宋体" w:eastAsia="宋体" w:cs="宋体"/>
                <w:i w:val="0"/>
                <w:color w:val="000000"/>
                <w:kern w:val="0"/>
                <w:sz w:val="18"/>
                <w:szCs w:val="18"/>
                <w:u w:val="none"/>
                <w:lang w:val="en-US" w:eastAsia="zh-CN" w:bidi="ar"/>
              </w:rPr>
              <w:t>实习</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4C8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503FA">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0F8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D59A4">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E3D82">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AF5F3">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C67BE">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373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B0F3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374BA">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120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9A4BB">
            <w:pPr>
              <w:jc w:val="center"/>
              <w:rPr>
                <w:rFonts w:hint="eastAsia" w:ascii="宋体" w:hAnsi="宋体" w:eastAsia="宋体" w:cs="宋体"/>
                <w:i w:val="0"/>
                <w:color w:val="000000"/>
                <w:sz w:val="18"/>
                <w:szCs w:val="18"/>
                <w:u w:val="none"/>
              </w:rPr>
            </w:pPr>
          </w:p>
        </w:tc>
      </w:tr>
      <w:tr w14:paraId="27F5B507">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EBCF1">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65C7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A23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9A0D68">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A9924">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16D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岗位</w:t>
            </w:r>
            <w:r>
              <w:rPr>
                <w:rFonts w:hint="eastAsia" w:ascii="宋体" w:hAnsi="宋体" w:eastAsia="宋体" w:cs="宋体"/>
                <w:i w:val="0"/>
                <w:color w:val="000000"/>
                <w:kern w:val="0"/>
                <w:sz w:val="18"/>
                <w:szCs w:val="18"/>
                <w:u w:val="none"/>
                <w:lang w:val="en-US" w:eastAsia="zh-CN" w:bidi="ar"/>
              </w:rPr>
              <w:t>实习</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61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04D8D">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7C6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B2128">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427E5">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C9C34">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375C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AD7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898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3452B">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04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86AB0">
            <w:pPr>
              <w:jc w:val="center"/>
              <w:rPr>
                <w:rFonts w:hint="eastAsia" w:ascii="宋体" w:hAnsi="宋体" w:eastAsia="宋体" w:cs="宋体"/>
                <w:i w:val="0"/>
                <w:color w:val="000000"/>
                <w:sz w:val="18"/>
                <w:szCs w:val="18"/>
                <w:u w:val="none"/>
              </w:rPr>
            </w:pPr>
          </w:p>
        </w:tc>
      </w:tr>
      <w:tr w14:paraId="2FB6A7A1">
        <w:tblPrEx>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FBE5A">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E927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745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C99A94">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6CEC4">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ED1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毕业设计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B2F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C8709">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C3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F9D83">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8A9C3">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54EC6">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DD04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FAD8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E3C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r>
              <w:rPr>
                <w:rFonts w:hint="eastAsia" w:ascii="宋体" w:hAnsi="宋体" w:cs="宋体"/>
                <w:i w:val="0"/>
                <w:color w:val="000000"/>
                <w:kern w:val="0"/>
                <w:sz w:val="18"/>
                <w:szCs w:val="18"/>
                <w:u w:val="none"/>
                <w:lang w:val="en-US" w:eastAsia="zh-CN" w:bidi="ar"/>
              </w:rPr>
              <w:t>10</w:t>
            </w:r>
            <w:r>
              <w:rPr>
                <w:rFonts w:hint="eastAsia" w:ascii="宋体" w:hAnsi="宋体" w:eastAsia="宋体" w:cs="宋体"/>
                <w:i w:val="0"/>
                <w:color w:val="000000"/>
                <w:kern w:val="0"/>
                <w:sz w:val="18"/>
                <w:szCs w:val="18"/>
                <w:u w:val="none"/>
                <w:lang w:val="en-US" w:eastAsia="zh-CN" w:bidi="ar"/>
              </w:rPr>
              <w:t>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9E4C5">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A1B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80D81">
            <w:pPr>
              <w:jc w:val="center"/>
              <w:rPr>
                <w:rFonts w:hint="eastAsia" w:ascii="宋体" w:hAnsi="宋体" w:eastAsia="宋体" w:cs="宋体"/>
                <w:i w:val="0"/>
                <w:color w:val="000000"/>
                <w:sz w:val="18"/>
                <w:szCs w:val="18"/>
                <w:u w:val="none"/>
              </w:rPr>
            </w:pPr>
          </w:p>
        </w:tc>
      </w:tr>
      <w:tr w14:paraId="6CE0E91E">
        <w:tblPrEx>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0238F">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D08B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467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8E623F">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051018</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E84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D59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毕业教育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0FC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02E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5FC4D">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A17EF">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B9B4D">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15992">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7138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053C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FD1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80144">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D86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183AA">
            <w:pPr>
              <w:jc w:val="center"/>
              <w:rPr>
                <w:rFonts w:hint="eastAsia" w:ascii="宋体" w:hAnsi="宋体" w:eastAsia="宋体" w:cs="宋体"/>
                <w:i w:val="0"/>
                <w:color w:val="000000"/>
                <w:sz w:val="18"/>
                <w:szCs w:val="18"/>
                <w:u w:val="none"/>
              </w:rPr>
            </w:pPr>
          </w:p>
        </w:tc>
      </w:tr>
      <w:tr w14:paraId="63CB8FAA">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5E9E1">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4511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78B54">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6F687">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10470">
            <w:pPr>
              <w:jc w:val="center"/>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1D3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748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1548</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61AD">
            <w:pPr>
              <w:keepNext w:val="0"/>
              <w:keepLines w:val="0"/>
              <w:widowControl/>
              <w:suppressLineNumbers w:val="0"/>
              <w:jc w:val="center"/>
              <w:textAlignment w:val="center"/>
              <w:rPr>
                <w:rFonts w:hint="eastAsia" w:ascii="宋体" w:hAnsi="宋体" w:eastAsia="宋体" w:cs="宋体"/>
                <w:i w:val="0"/>
                <w:iCs/>
                <w:color w:val="000000"/>
                <w:sz w:val="18"/>
                <w:szCs w:val="18"/>
                <w:u w:val="none"/>
              </w:rPr>
            </w:pPr>
            <w:r>
              <w:rPr>
                <w:rFonts w:hint="eastAsia" w:ascii="宋体" w:hAnsi="宋体" w:eastAsia="宋体" w:cs="宋体"/>
                <w:i w:val="0"/>
                <w:iCs/>
                <w:color w:val="000000"/>
                <w:kern w:val="0"/>
                <w:sz w:val="18"/>
                <w:szCs w:val="18"/>
                <w:u w:val="none"/>
                <w:lang w:val="en-US" w:eastAsia="zh-CN" w:bidi="ar"/>
              </w:rPr>
              <w:t>494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437E">
            <w:pPr>
              <w:keepNext w:val="0"/>
              <w:keepLines w:val="0"/>
              <w:widowControl/>
              <w:suppressLineNumbers w:val="0"/>
              <w:jc w:val="center"/>
              <w:textAlignment w:val="center"/>
              <w:rPr>
                <w:rFonts w:hint="eastAsia" w:ascii="宋体" w:hAnsi="宋体" w:eastAsia="宋体" w:cs="宋体"/>
                <w:i w:val="0"/>
                <w:iCs/>
                <w:color w:val="000000"/>
                <w:sz w:val="18"/>
                <w:szCs w:val="18"/>
                <w:u w:val="none"/>
              </w:rPr>
            </w:pPr>
            <w:r>
              <w:rPr>
                <w:rFonts w:hint="eastAsia" w:ascii="宋体" w:hAnsi="宋体" w:eastAsia="宋体" w:cs="宋体"/>
                <w:i w:val="0"/>
                <w:iCs/>
                <w:color w:val="000000"/>
                <w:kern w:val="0"/>
                <w:sz w:val="18"/>
                <w:szCs w:val="18"/>
                <w:u w:val="none"/>
                <w:lang w:val="en-US" w:eastAsia="zh-CN" w:bidi="ar"/>
              </w:rPr>
              <w:t>1054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9A17F">
            <w:pPr>
              <w:keepNext w:val="0"/>
              <w:keepLines w:val="0"/>
              <w:widowControl/>
              <w:suppressLineNumbers w:val="0"/>
              <w:jc w:val="center"/>
              <w:textAlignment w:val="center"/>
              <w:rPr>
                <w:rFonts w:hint="eastAsia" w:ascii="宋体" w:hAnsi="宋体" w:eastAsia="宋体" w:cs="宋体"/>
                <w:i w:val="0"/>
                <w:iCs/>
                <w:color w:val="000000"/>
                <w:sz w:val="18"/>
                <w:szCs w:val="18"/>
                <w:u w:val="none"/>
              </w:rPr>
            </w:pPr>
            <w:r>
              <w:rPr>
                <w:rFonts w:hint="eastAsia" w:ascii="宋体" w:hAnsi="宋体" w:eastAsia="宋体" w:cs="宋体"/>
                <w:i w:val="0"/>
                <w:iCs/>
                <w:color w:val="000000"/>
                <w:kern w:val="0"/>
                <w:sz w:val="18"/>
                <w:szCs w:val="18"/>
                <w:u w:val="none"/>
                <w:lang w:val="en-US" w:eastAsia="zh-CN" w:bidi="ar"/>
              </w:rPr>
              <w:t>12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AC2C1">
            <w:pPr>
              <w:keepNext w:val="0"/>
              <w:keepLines w:val="0"/>
              <w:widowControl/>
              <w:suppressLineNumbers w:val="0"/>
              <w:jc w:val="center"/>
              <w:textAlignment w:val="center"/>
              <w:rPr>
                <w:rFonts w:hint="eastAsia" w:ascii="宋体" w:hAnsi="宋体" w:eastAsia="宋体" w:cs="宋体"/>
                <w:i w:val="0"/>
                <w:iCs/>
                <w:color w:val="000000"/>
                <w:sz w:val="18"/>
                <w:szCs w:val="18"/>
                <w:u w:val="none"/>
              </w:rPr>
            </w:pPr>
            <w:r>
              <w:rPr>
                <w:rFonts w:hint="eastAsia" w:ascii="宋体" w:hAnsi="宋体" w:eastAsia="宋体" w:cs="宋体"/>
                <w:i w:val="0"/>
                <w:iCs/>
                <w:color w:val="000000"/>
                <w:kern w:val="0"/>
                <w:sz w:val="18"/>
                <w:szCs w:val="18"/>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8A9C">
            <w:pPr>
              <w:keepNext w:val="0"/>
              <w:keepLines w:val="0"/>
              <w:widowControl/>
              <w:suppressLineNumbers w:val="0"/>
              <w:jc w:val="center"/>
              <w:textAlignment w:val="center"/>
              <w:rPr>
                <w:rFonts w:hint="eastAsia" w:ascii="宋体" w:hAnsi="宋体" w:eastAsia="宋体" w:cs="宋体"/>
                <w:i w:val="0"/>
                <w:iCs/>
                <w:color w:val="000000"/>
                <w:sz w:val="18"/>
                <w:szCs w:val="18"/>
                <w:u w:val="none"/>
              </w:rPr>
            </w:pPr>
            <w:r>
              <w:rPr>
                <w:rFonts w:hint="eastAsia" w:ascii="宋体" w:hAnsi="宋体" w:eastAsia="宋体" w:cs="宋体"/>
                <w:i w:val="0"/>
                <w:iCs/>
                <w:color w:val="000000"/>
                <w:kern w:val="0"/>
                <w:sz w:val="18"/>
                <w:szCs w:val="18"/>
                <w:u w:val="none"/>
                <w:lang w:val="en-US" w:eastAsia="zh-CN" w:bidi="ar"/>
              </w:rPr>
              <w:t>12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9C9D7">
            <w:pPr>
              <w:keepNext w:val="0"/>
              <w:keepLines w:val="0"/>
              <w:widowControl/>
              <w:suppressLineNumbers w:val="0"/>
              <w:jc w:val="center"/>
              <w:textAlignment w:val="center"/>
              <w:rPr>
                <w:rFonts w:hint="eastAsia" w:ascii="宋体" w:hAnsi="宋体" w:eastAsia="宋体" w:cs="宋体"/>
                <w:i w:val="0"/>
                <w:iCs/>
                <w:color w:val="000000"/>
                <w:sz w:val="18"/>
                <w:szCs w:val="18"/>
                <w:u w:val="none"/>
              </w:rPr>
            </w:pPr>
            <w:r>
              <w:rPr>
                <w:rFonts w:hint="eastAsia" w:ascii="宋体" w:hAnsi="宋体" w:eastAsia="宋体" w:cs="宋体"/>
                <w:i w:val="0"/>
                <w:iCs/>
                <w:color w:val="000000"/>
                <w:kern w:val="0"/>
                <w:sz w:val="18"/>
                <w:szCs w:val="18"/>
                <w:u w:val="none"/>
                <w:lang w:val="en-US" w:eastAsia="zh-CN" w:bidi="ar"/>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9B8FD">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A992A">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5ECD">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447F9">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0A5F3">
            <w:pPr>
              <w:jc w:val="center"/>
              <w:rPr>
                <w:rFonts w:hint="eastAsia" w:ascii="宋体" w:hAnsi="宋体" w:eastAsia="宋体" w:cs="宋体"/>
                <w:i/>
                <w:color w:val="000000"/>
                <w:sz w:val="18"/>
                <w:szCs w:val="18"/>
                <w:u w:val="none"/>
              </w:rPr>
            </w:pPr>
          </w:p>
        </w:tc>
      </w:tr>
      <w:tr w14:paraId="66E33835">
        <w:tblPrEx>
          <w:shd w:val="clear" w:color="auto" w:fill="auto"/>
          <w:tblCellMar>
            <w:top w:w="0" w:type="dxa"/>
            <w:left w:w="0" w:type="dxa"/>
            <w:bottom w:w="0" w:type="dxa"/>
            <w:right w:w="0" w:type="dxa"/>
          </w:tblCellMar>
        </w:tblPrEx>
        <w:trPr>
          <w:trHeight w:val="31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40A1B">
            <w:pPr>
              <w:jc w:val="center"/>
              <w:rPr>
                <w:rFonts w:hint="eastAsia" w:ascii="宋体" w:hAnsi="宋体" w:eastAsia="宋体" w:cs="宋体"/>
                <w:i w:val="0"/>
                <w:color w:val="000000"/>
                <w:sz w:val="18"/>
                <w:szCs w:val="18"/>
                <w:u w:val="none"/>
              </w:rPr>
            </w:pP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EBC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必修课合计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7DD0E">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24</w:t>
            </w:r>
            <w:r>
              <w:rPr>
                <w:rFonts w:hint="eastAsia" w:ascii="宋体" w:hAnsi="宋体" w:cs="宋体"/>
                <w:i w:val="0"/>
                <w:color w:val="000000"/>
                <w:kern w:val="0"/>
                <w:sz w:val="18"/>
                <w:szCs w:val="18"/>
                <w:u w:val="none"/>
                <w:lang w:val="en-US" w:eastAsia="zh-CN" w:bidi="ar"/>
              </w:rPr>
              <w:t>80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B02A6">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914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8052">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w:t>
            </w:r>
            <w:r>
              <w:rPr>
                <w:rFonts w:hint="eastAsia" w:ascii="宋体" w:hAnsi="宋体" w:cs="宋体"/>
                <w:i w:val="0"/>
                <w:color w:val="000000"/>
                <w:kern w:val="0"/>
                <w:sz w:val="18"/>
                <w:szCs w:val="18"/>
                <w:u w:val="none"/>
                <w:lang w:val="en-US" w:eastAsia="zh-CN" w:bidi="ar"/>
              </w:rPr>
              <w:t>66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2AC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9DD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976B9">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731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729B1">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1A98B">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6F06A">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8E6CC">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252EB">
            <w:pPr>
              <w:jc w:val="center"/>
              <w:rPr>
                <w:rFonts w:hint="eastAsia" w:ascii="宋体" w:hAnsi="宋体" w:eastAsia="宋体" w:cs="宋体"/>
                <w:i/>
                <w:color w:val="000000"/>
                <w:sz w:val="18"/>
                <w:szCs w:val="18"/>
                <w:u w:val="none"/>
              </w:rPr>
            </w:pPr>
          </w:p>
        </w:tc>
      </w:tr>
      <w:tr w14:paraId="73BECEA0">
        <w:tblPrEx>
          <w:tblCellMar>
            <w:top w:w="0" w:type="dxa"/>
            <w:left w:w="0" w:type="dxa"/>
            <w:bottom w:w="0" w:type="dxa"/>
            <w:right w:w="0" w:type="dxa"/>
          </w:tblCellMar>
        </w:tblPrEx>
        <w:trPr>
          <w:trHeight w:val="315"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878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选修课</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0A7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专业选修课</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DE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22008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3E5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95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商法</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D3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E23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C59D7">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8544D">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37251">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0FD31">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4D8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72BE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0BBC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F74C4">
            <w:pPr>
              <w:jc w:val="left"/>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3A1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FA1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限定选修课</w:t>
            </w:r>
          </w:p>
        </w:tc>
      </w:tr>
      <w:tr w14:paraId="411B1E18">
        <w:tblPrEx>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E766">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2FC8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EAE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941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053020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9FD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A03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商务英语</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D887C">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64</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CF19F">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10059">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D9800">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1B510">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4FE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D1CA4">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highlight w:val="none"/>
                <w:u w:val="none"/>
                <w:lang w:val="en-US" w:eastAsia="zh-CN" w:bidi="ar"/>
              </w:rPr>
              <w:t>2*16周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E396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DE51A">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6274E">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57E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B0C02">
            <w:pPr>
              <w:jc w:val="center"/>
              <w:rPr>
                <w:rFonts w:hint="eastAsia" w:ascii="宋体" w:hAnsi="宋体" w:eastAsia="宋体" w:cs="宋体"/>
                <w:i w:val="0"/>
                <w:color w:val="000000"/>
                <w:sz w:val="18"/>
                <w:szCs w:val="18"/>
                <w:u w:val="none"/>
              </w:rPr>
            </w:pPr>
          </w:p>
        </w:tc>
      </w:tr>
      <w:tr w14:paraId="42EA741E">
        <w:tblPrEx>
          <w:shd w:val="clear" w:color="auto" w:fill="auto"/>
          <w:tblCellMar>
            <w:top w:w="0" w:type="dxa"/>
            <w:left w:w="0" w:type="dxa"/>
            <w:bottom w:w="0" w:type="dxa"/>
            <w:right w:w="0" w:type="dxa"/>
          </w:tblCellMar>
        </w:tblPrEx>
        <w:trPr>
          <w:trHeight w:val="48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E9A2">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BAF8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55A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88FE72">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051011</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B34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9EF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汽车4S店经营管理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137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1FD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EFF11">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3300E">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39507">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23675">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6BE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972F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46B6F">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1A90C">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A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A38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2选1</w:t>
            </w:r>
          </w:p>
        </w:tc>
      </w:tr>
      <w:tr w14:paraId="41D517EE">
        <w:tblPrEx>
          <w:shd w:val="clear" w:color="auto" w:fill="auto"/>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05530">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1B787">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B42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EF33D6">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A5E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6BA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中国金融文化</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A4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2E0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83251">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C431">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E6652">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554A1">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52D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A526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0116C">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19448">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5B8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7FF5">
            <w:pPr>
              <w:jc w:val="center"/>
              <w:rPr>
                <w:rFonts w:hint="eastAsia" w:ascii="宋体" w:hAnsi="宋体" w:eastAsia="宋体" w:cs="宋体"/>
                <w:i w:val="0"/>
                <w:color w:val="000000"/>
                <w:sz w:val="18"/>
                <w:szCs w:val="18"/>
                <w:u w:val="none"/>
              </w:rPr>
            </w:pPr>
          </w:p>
        </w:tc>
      </w:tr>
      <w:tr w14:paraId="3268518C">
        <w:tblPrEx>
          <w:shd w:val="clear" w:color="auto" w:fill="auto"/>
          <w:tblCellMar>
            <w:top w:w="0" w:type="dxa"/>
            <w:left w:w="0" w:type="dxa"/>
            <w:bottom w:w="0" w:type="dxa"/>
            <w:right w:w="0" w:type="dxa"/>
          </w:tblCellMar>
        </w:tblPrEx>
        <w:trPr>
          <w:trHeight w:val="31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AC771">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61D5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C01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FAC7DF">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053003</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E2B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678A0">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财务管理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293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84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CE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D2949">
            <w:pPr>
              <w:jc w:val="center"/>
              <w:rPr>
                <w:rFonts w:hint="eastAsia" w:ascii="宋体" w:hAnsi="宋体" w:eastAsia="宋体" w:cs="宋体"/>
                <w:i/>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06782">
            <w:pPr>
              <w:jc w:val="center"/>
              <w:rPr>
                <w:rFonts w:hint="eastAsia" w:ascii="宋体" w:hAnsi="宋体" w:eastAsia="宋体" w:cs="宋体"/>
                <w:i/>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9B5C7">
            <w:pPr>
              <w:jc w:val="center"/>
              <w:rPr>
                <w:rFonts w:hint="eastAsia" w:ascii="宋体" w:hAnsi="宋体" w:eastAsia="宋体" w:cs="宋体"/>
                <w:i/>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4B0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91FBA">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ACAE6">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F27B3">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57E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E94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3选1</w:t>
            </w:r>
          </w:p>
        </w:tc>
      </w:tr>
      <w:tr w14:paraId="3A8A1099">
        <w:tblPrEx>
          <w:shd w:val="clear" w:color="auto" w:fill="auto"/>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78777">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05E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64F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1D0F21">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051025</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C7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38A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银行会计实务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505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C96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9C5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6819A">
            <w:pPr>
              <w:jc w:val="center"/>
              <w:rPr>
                <w:rFonts w:hint="eastAsia" w:ascii="宋体" w:hAnsi="宋体" w:eastAsia="宋体" w:cs="宋体"/>
                <w:i/>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917D1">
            <w:pPr>
              <w:jc w:val="center"/>
              <w:rPr>
                <w:rFonts w:hint="eastAsia" w:ascii="宋体" w:hAnsi="宋体" w:eastAsia="宋体" w:cs="宋体"/>
                <w:i/>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846FE">
            <w:pPr>
              <w:jc w:val="center"/>
              <w:rPr>
                <w:rFonts w:hint="eastAsia" w:ascii="宋体" w:hAnsi="宋体" w:eastAsia="宋体" w:cs="宋体"/>
                <w:i/>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C94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2D8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21C58">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90441">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5B8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0AA76">
            <w:pPr>
              <w:jc w:val="center"/>
              <w:rPr>
                <w:rFonts w:hint="eastAsia" w:ascii="宋体" w:hAnsi="宋体" w:eastAsia="宋体" w:cs="宋体"/>
                <w:i w:val="0"/>
                <w:color w:val="000000"/>
                <w:sz w:val="18"/>
                <w:szCs w:val="18"/>
                <w:u w:val="none"/>
              </w:rPr>
            </w:pPr>
          </w:p>
        </w:tc>
      </w:tr>
      <w:tr w14:paraId="637D6B14">
        <w:tblPrEx>
          <w:shd w:val="clear" w:color="auto" w:fill="auto"/>
          <w:tblCellMar>
            <w:top w:w="0" w:type="dxa"/>
            <w:left w:w="0" w:type="dxa"/>
            <w:bottom w:w="0" w:type="dxa"/>
            <w:right w:w="0" w:type="dxa"/>
          </w:tblCellMar>
        </w:tblPrEx>
        <w:trPr>
          <w:trHeight w:val="4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BF0C9">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B7ED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4F4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5C495D">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FD2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491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管理沟通与谈判</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9E1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45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0A4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098B0">
            <w:pPr>
              <w:jc w:val="center"/>
              <w:rPr>
                <w:rFonts w:hint="eastAsia" w:ascii="宋体" w:hAnsi="宋体" w:eastAsia="宋体" w:cs="宋体"/>
                <w:i/>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14056">
            <w:pPr>
              <w:jc w:val="center"/>
              <w:rPr>
                <w:rFonts w:hint="eastAsia" w:ascii="宋体" w:hAnsi="宋体" w:eastAsia="宋体" w:cs="宋体"/>
                <w:i/>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F14F">
            <w:pPr>
              <w:jc w:val="center"/>
              <w:rPr>
                <w:rFonts w:hint="eastAsia" w:ascii="宋体" w:hAnsi="宋体" w:eastAsia="宋体" w:cs="宋体"/>
                <w:i/>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622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33CF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FA438">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370E">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12E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3F8C6">
            <w:pPr>
              <w:jc w:val="center"/>
              <w:rPr>
                <w:rFonts w:hint="eastAsia" w:ascii="宋体" w:hAnsi="宋体" w:eastAsia="宋体" w:cs="宋体"/>
                <w:i w:val="0"/>
                <w:color w:val="000000"/>
                <w:sz w:val="18"/>
                <w:szCs w:val="18"/>
                <w:u w:val="none"/>
              </w:rPr>
            </w:pPr>
          </w:p>
        </w:tc>
      </w:tr>
      <w:tr w14:paraId="20D3CF14">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F4D08">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509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73D92">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93A3">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3EE6C">
            <w:pPr>
              <w:jc w:val="center"/>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112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A0AC9">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92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CF320">
            <w:pPr>
              <w:keepNext w:val="0"/>
              <w:keepLines w:val="0"/>
              <w:widowControl/>
              <w:suppressLineNumbers w:val="0"/>
              <w:jc w:val="center"/>
              <w:textAlignment w:val="center"/>
              <w:rPr>
                <w:rFonts w:hint="default" w:ascii="宋体" w:hAnsi="宋体" w:eastAsia="宋体" w:cs="宋体"/>
                <w:i w:val="0"/>
                <w:iCs/>
                <w:color w:val="000000"/>
                <w:sz w:val="18"/>
                <w:szCs w:val="18"/>
                <w:u w:val="none"/>
                <w:lang w:val="en-US"/>
              </w:rPr>
            </w:pPr>
            <w:r>
              <w:rPr>
                <w:rFonts w:hint="eastAsia" w:ascii="宋体" w:hAnsi="宋体" w:eastAsia="宋体" w:cs="宋体"/>
                <w:i w:val="0"/>
                <w:iCs/>
                <w:color w:val="000000"/>
                <w:kern w:val="0"/>
                <w:sz w:val="18"/>
                <w:szCs w:val="18"/>
                <w:u w:val="none"/>
                <w:lang w:val="en-US" w:eastAsia="zh-CN" w:bidi="ar"/>
              </w:rPr>
              <w:t>1</w:t>
            </w:r>
            <w:r>
              <w:rPr>
                <w:rFonts w:hint="eastAsia" w:ascii="宋体" w:hAnsi="宋体" w:cs="宋体"/>
                <w:i w:val="0"/>
                <w:iCs/>
                <w:color w:val="000000"/>
                <w:kern w:val="0"/>
                <w:sz w:val="18"/>
                <w:szCs w:val="18"/>
                <w:u w:val="none"/>
                <w:lang w:val="en-US" w:eastAsia="zh-CN" w:bidi="ar"/>
              </w:rPr>
              <w:t>44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87BA7">
            <w:pPr>
              <w:keepNext w:val="0"/>
              <w:keepLines w:val="0"/>
              <w:widowControl/>
              <w:suppressLineNumbers w:val="0"/>
              <w:jc w:val="center"/>
              <w:textAlignment w:val="center"/>
              <w:rPr>
                <w:rFonts w:hint="default" w:ascii="宋体" w:hAnsi="宋体" w:eastAsia="宋体" w:cs="宋体"/>
                <w:i w:val="0"/>
                <w:iCs/>
                <w:color w:val="000000"/>
                <w:sz w:val="18"/>
                <w:szCs w:val="18"/>
                <w:u w:val="none"/>
                <w:lang w:val="en-US" w:eastAsia="zh-CN"/>
              </w:rPr>
            </w:pPr>
            <w:r>
              <w:rPr>
                <w:rFonts w:hint="eastAsia" w:ascii="宋体" w:hAnsi="宋体" w:cs="宋体"/>
                <w:i w:val="0"/>
                <w:iCs/>
                <w:color w:val="000000"/>
                <w:sz w:val="18"/>
                <w:szCs w:val="18"/>
                <w:u w:val="none"/>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655B9">
            <w:pPr>
              <w:jc w:val="center"/>
              <w:rPr>
                <w:rFonts w:hint="eastAsia" w:ascii="宋体" w:hAnsi="宋体" w:eastAsia="宋体" w:cs="宋体"/>
                <w:i w:val="0"/>
                <w:iCs/>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6F57F">
            <w:pPr>
              <w:jc w:val="center"/>
              <w:rPr>
                <w:rFonts w:hint="eastAsia" w:ascii="宋体" w:hAnsi="宋体" w:eastAsia="宋体" w:cs="宋体"/>
                <w:i w:val="0"/>
                <w:iCs/>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F8BB2">
            <w:pPr>
              <w:keepNext w:val="0"/>
              <w:keepLines w:val="0"/>
              <w:widowControl/>
              <w:suppressLineNumbers w:val="0"/>
              <w:jc w:val="center"/>
              <w:textAlignment w:val="center"/>
              <w:rPr>
                <w:rFonts w:hint="eastAsia" w:ascii="宋体" w:hAnsi="宋体" w:eastAsia="宋体" w:cs="宋体"/>
                <w:i w:val="0"/>
                <w:iCs/>
                <w:color w:val="000000"/>
                <w:sz w:val="18"/>
                <w:szCs w:val="18"/>
                <w:u w:val="none"/>
              </w:rPr>
            </w:pPr>
            <w:r>
              <w:rPr>
                <w:rFonts w:hint="eastAsia" w:ascii="宋体" w:hAnsi="宋体" w:eastAsia="宋体" w:cs="宋体"/>
                <w:i w:val="0"/>
                <w:iCs/>
                <w:color w:val="000000"/>
                <w:kern w:val="0"/>
                <w:sz w:val="18"/>
                <w:szCs w:val="1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43243">
            <w:pPr>
              <w:keepNext w:val="0"/>
              <w:keepLines w:val="0"/>
              <w:widowControl/>
              <w:suppressLineNumbers w:val="0"/>
              <w:jc w:val="center"/>
              <w:textAlignment w:val="center"/>
              <w:rPr>
                <w:rFonts w:hint="default" w:ascii="宋体" w:hAnsi="宋体" w:eastAsia="宋体" w:cs="宋体"/>
                <w:i w:val="0"/>
                <w:iCs/>
                <w:color w:val="000000"/>
                <w:sz w:val="18"/>
                <w:szCs w:val="18"/>
                <w:u w:val="none"/>
                <w:lang w:val="en-US" w:eastAsia="zh-CN"/>
              </w:rPr>
            </w:pPr>
            <w:r>
              <w:rPr>
                <w:rFonts w:hint="eastAsia" w:ascii="宋体" w:hAnsi="宋体" w:cs="宋体"/>
                <w:i w:val="0"/>
                <w:iCs/>
                <w:color w:val="000000"/>
                <w:sz w:val="18"/>
                <w:szCs w:val="18"/>
                <w:u w:val="none"/>
                <w:lang w:val="en-US" w:eastAsia="zh-CN"/>
              </w:rPr>
              <w:t>10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429CE">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B5059">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8C11A">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8D7D3">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84DBD">
            <w:pPr>
              <w:jc w:val="center"/>
              <w:rPr>
                <w:rFonts w:hint="eastAsia" w:ascii="宋体" w:hAnsi="宋体" w:eastAsia="宋体" w:cs="宋体"/>
                <w:i w:val="0"/>
                <w:color w:val="000000"/>
                <w:sz w:val="18"/>
                <w:szCs w:val="18"/>
                <w:u w:val="none"/>
              </w:rPr>
            </w:pPr>
          </w:p>
        </w:tc>
      </w:tr>
      <w:tr w14:paraId="7B8A92F0">
        <w:tblPrEx>
          <w:tblCellMar>
            <w:top w:w="0" w:type="dxa"/>
            <w:left w:w="0" w:type="dxa"/>
            <w:bottom w:w="0" w:type="dxa"/>
            <w:right w:w="0" w:type="dxa"/>
          </w:tblCellMar>
        </w:tblPrEx>
        <w:trPr>
          <w:trHeight w:val="31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896EF">
            <w:pPr>
              <w:jc w:val="center"/>
              <w:rPr>
                <w:rFonts w:hint="eastAsia" w:ascii="宋体" w:hAnsi="宋体" w:eastAsia="宋体" w:cs="宋体"/>
                <w:i w:val="0"/>
                <w:color w:val="000000"/>
                <w:sz w:val="18"/>
                <w:szCs w:val="18"/>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278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公共选修课</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7F2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BFB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240002</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A3E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4DF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党史国史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93C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FA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C4469">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8D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C22BF">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7DB2B">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DC75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DF1E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85F7">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CC098">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AF8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10C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限定选修课</w:t>
            </w:r>
          </w:p>
        </w:tc>
      </w:tr>
      <w:tr w14:paraId="2D7D25DC">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9B23C">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C538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ADF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430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210006</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D98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1EE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美育教育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9E3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81B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8E3DA">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E6C46">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927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06849">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09CD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A26F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9AA4E">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EFA21">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D35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33E9E">
            <w:pPr>
              <w:jc w:val="center"/>
              <w:rPr>
                <w:rFonts w:hint="eastAsia" w:ascii="宋体" w:hAnsi="宋体" w:eastAsia="宋体" w:cs="宋体"/>
                <w:i w:val="0"/>
                <w:color w:val="000000"/>
                <w:sz w:val="18"/>
                <w:szCs w:val="18"/>
                <w:u w:val="none"/>
              </w:rPr>
            </w:pPr>
          </w:p>
        </w:tc>
      </w:tr>
      <w:tr w14:paraId="0D15A8B0">
        <w:tblPrEx>
          <w:shd w:val="clear" w:color="auto" w:fill="auto"/>
          <w:tblCellMar>
            <w:top w:w="0" w:type="dxa"/>
            <w:left w:w="0" w:type="dxa"/>
            <w:bottom w:w="0" w:type="dxa"/>
            <w:right w:w="0" w:type="dxa"/>
          </w:tblCellMar>
        </w:tblPrEx>
        <w:trPr>
          <w:trHeight w:val="67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0CB5D">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B8A0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37A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213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210007</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20D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A85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职业素养</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3D7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AA6DD">
            <w:pPr>
              <w:jc w:val="center"/>
              <w:rPr>
                <w:rFonts w:hint="eastAsia" w:ascii="宋体" w:hAnsi="宋体" w:eastAsia="宋体" w:cs="宋体"/>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1AD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39524">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90559">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4F0F8F">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B247D">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E139B">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37CD9">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D2B1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FDF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F3F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限定选修课（在</w:t>
            </w:r>
            <w:r>
              <w:rPr>
                <w:rFonts w:hint="eastAsia" w:ascii="宋体" w:hAnsi="宋体" w:cs="宋体"/>
                <w:i w:val="0"/>
                <w:color w:val="000000"/>
                <w:kern w:val="0"/>
                <w:sz w:val="18"/>
                <w:szCs w:val="18"/>
                <w:u w:val="none"/>
                <w:lang w:val="en-US" w:eastAsia="zh-CN" w:bidi="ar"/>
              </w:rPr>
              <w:t>岗位</w:t>
            </w:r>
            <w:r>
              <w:rPr>
                <w:rFonts w:hint="eastAsia" w:ascii="宋体" w:hAnsi="宋体" w:eastAsia="宋体" w:cs="宋体"/>
                <w:i w:val="0"/>
                <w:color w:val="000000"/>
                <w:kern w:val="0"/>
                <w:sz w:val="18"/>
                <w:szCs w:val="18"/>
                <w:u w:val="none"/>
                <w:lang w:val="en-US" w:eastAsia="zh-CN" w:bidi="ar"/>
              </w:rPr>
              <w:t>实习中完成）</w:t>
            </w:r>
          </w:p>
        </w:tc>
      </w:tr>
      <w:tr w14:paraId="762A0701">
        <w:tblPrEx>
          <w:shd w:val="clear" w:color="auto" w:fill="auto"/>
          <w:tblCellMar>
            <w:top w:w="0" w:type="dxa"/>
            <w:left w:w="0" w:type="dxa"/>
            <w:bottom w:w="0" w:type="dxa"/>
            <w:right w:w="0" w:type="dxa"/>
          </w:tblCellMar>
        </w:tblPrEx>
        <w:trPr>
          <w:trHeight w:val="90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DA5EB">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EF46A">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F50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8C681">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A0B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657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公共任选课（课程名称详见附件）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DC6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E1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B4D3B">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03067">
            <w:pPr>
              <w:jc w:val="center"/>
              <w:rPr>
                <w:rFonts w:hint="eastAsia" w:ascii="宋体" w:hAnsi="宋体" w:eastAsia="宋体" w:cs="宋体"/>
                <w:i w:val="0"/>
                <w:color w:val="000000"/>
                <w:sz w:val="18"/>
                <w:szCs w:val="18"/>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B5527">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5E17D">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9457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B96C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3848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0466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C1C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62F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在面向全院开设的公共选修课中选修2门</w:t>
            </w:r>
          </w:p>
        </w:tc>
      </w:tr>
      <w:tr w14:paraId="163F0B6D">
        <w:tblPrEx>
          <w:shd w:val="clear" w:color="auto" w:fill="auto"/>
          <w:tblCellMar>
            <w:top w:w="0" w:type="dxa"/>
            <w:left w:w="0" w:type="dxa"/>
            <w:bottom w:w="0" w:type="dxa"/>
            <w:right w:w="0" w:type="dxa"/>
          </w:tblCellMar>
        </w:tblPrEx>
        <w:trPr>
          <w:trHeight w:val="28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F47E">
            <w:pPr>
              <w:jc w:val="center"/>
              <w:rPr>
                <w:rFonts w:hint="eastAsia" w:ascii="宋体" w:hAnsi="宋体" w:eastAsia="宋体" w:cs="宋体"/>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42D8E">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1CF2C">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85C9D">
            <w:pPr>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CBE02">
            <w:pPr>
              <w:jc w:val="center"/>
              <w:rPr>
                <w:rFonts w:hint="eastAsia" w:ascii="宋体" w:hAnsi="宋体" w:eastAsia="宋体" w:cs="宋体"/>
                <w:i w:val="0"/>
                <w:color w:val="000000"/>
                <w:sz w:val="18"/>
                <w:szCs w:val="1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071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6C7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4A7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92B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F287F">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D36E8">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B2055F">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4ADDA">
            <w:pPr>
              <w:jc w:val="center"/>
              <w:rPr>
                <w:rFonts w:hint="eastAsia" w:ascii="宋体" w:hAnsi="宋体" w:eastAsia="宋体" w:cs="宋体"/>
                <w:i/>
                <w:color w:val="000000"/>
                <w:sz w:val="18"/>
                <w:szCs w:val="18"/>
                <w:u w:val="none"/>
                <w:lang w:val="en-US" w:eastAsia="zh-CN"/>
              </w:rPr>
            </w:pPr>
            <w:r>
              <w:rPr>
                <w:rFonts w:hint="eastAsia" w:ascii="宋体" w:hAnsi="宋体" w:cs="宋体"/>
                <w:i/>
                <w:color w:val="000000"/>
                <w:sz w:val="18"/>
                <w:szCs w:val="18"/>
                <w:u w:val="none"/>
                <w:lang w:val="en-US" w:eastAsia="zh-CN"/>
              </w:rPr>
              <w:t>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B30AA">
            <w:pPr>
              <w:keepNext w:val="0"/>
              <w:keepLines w:val="0"/>
              <w:widowControl/>
              <w:suppressLineNumbers w:val="0"/>
              <w:jc w:val="center"/>
              <w:textAlignment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6B9B1">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3D13">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9231E">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DC6FC">
            <w:pPr>
              <w:jc w:val="center"/>
              <w:rPr>
                <w:rFonts w:hint="eastAsia" w:ascii="宋体" w:hAnsi="宋体" w:eastAsia="宋体" w:cs="宋体"/>
                <w:i/>
                <w:color w:val="000000"/>
                <w:sz w:val="18"/>
                <w:szCs w:val="18"/>
                <w:u w:val="none"/>
              </w:rPr>
            </w:pPr>
          </w:p>
        </w:tc>
      </w:tr>
      <w:tr w14:paraId="73DC90EE">
        <w:tblPrEx>
          <w:tblCellMar>
            <w:top w:w="0" w:type="dxa"/>
            <w:left w:w="0" w:type="dxa"/>
            <w:bottom w:w="0" w:type="dxa"/>
            <w:right w:w="0" w:type="dxa"/>
          </w:tblCellMar>
        </w:tblPrEx>
        <w:trPr>
          <w:trHeight w:val="315"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B8BF">
            <w:pPr>
              <w:jc w:val="center"/>
              <w:rPr>
                <w:rFonts w:hint="eastAsia" w:ascii="宋体" w:hAnsi="宋体" w:eastAsia="宋体" w:cs="宋体"/>
                <w:i w:val="0"/>
                <w:color w:val="000000"/>
                <w:sz w:val="18"/>
                <w:szCs w:val="18"/>
                <w:u w:val="none"/>
              </w:rPr>
            </w:pP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D6C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选修课合计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B68C5">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52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078CC">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72</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04A53">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FA8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EB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5FC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10B03">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FA135">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42C5B">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6680">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44381">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DCAE3">
            <w:pPr>
              <w:jc w:val="center"/>
              <w:rPr>
                <w:rFonts w:hint="eastAsia" w:ascii="宋体" w:hAnsi="宋体" w:eastAsia="宋体" w:cs="宋体"/>
                <w:i/>
                <w:color w:val="000000"/>
                <w:sz w:val="18"/>
                <w:szCs w:val="18"/>
                <w:u w:val="none"/>
              </w:rPr>
            </w:pPr>
          </w:p>
        </w:tc>
      </w:tr>
      <w:tr w14:paraId="43C0604A">
        <w:tblPrEx>
          <w:shd w:val="clear" w:color="auto" w:fill="auto"/>
          <w:tblCellMar>
            <w:top w:w="0" w:type="dxa"/>
            <w:left w:w="0" w:type="dxa"/>
            <w:bottom w:w="0" w:type="dxa"/>
            <w:right w:w="0" w:type="dxa"/>
          </w:tblCellMar>
        </w:tblPrEx>
        <w:trPr>
          <w:trHeight w:val="315" w:hRule="atLeast"/>
        </w:trPr>
        <w:tc>
          <w:tcPr>
            <w:tcW w:w="48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F57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9063C">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832</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07D7">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11</w:t>
            </w:r>
            <w:r>
              <w:rPr>
                <w:rFonts w:hint="eastAsia" w:ascii="宋体" w:hAnsi="宋体" w:cs="宋体"/>
                <w:i w:val="0"/>
                <w:color w:val="000000"/>
                <w:kern w:val="0"/>
                <w:sz w:val="18"/>
                <w:szCs w:val="18"/>
                <w:u w:val="none"/>
                <w:lang w:val="en-US" w:eastAsia="zh-CN" w:bidi="ar"/>
              </w:rPr>
              <w:t>86</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69F58">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646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F87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69E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7DB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045E5">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B69C1">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44A4E">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42C3F">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71FC4">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8421E">
            <w:pPr>
              <w:jc w:val="center"/>
              <w:rPr>
                <w:rFonts w:hint="eastAsia" w:ascii="宋体" w:hAnsi="宋体" w:eastAsia="宋体" w:cs="宋体"/>
                <w:i/>
                <w:color w:val="000000"/>
                <w:sz w:val="18"/>
                <w:szCs w:val="18"/>
                <w:u w:val="none"/>
              </w:rPr>
            </w:pPr>
          </w:p>
        </w:tc>
      </w:tr>
      <w:tr w14:paraId="3409F997">
        <w:tblPrEx>
          <w:shd w:val="clear" w:color="auto" w:fill="auto"/>
          <w:tblCellMar>
            <w:top w:w="0" w:type="dxa"/>
            <w:left w:w="0" w:type="dxa"/>
            <w:bottom w:w="0" w:type="dxa"/>
            <w:right w:w="0" w:type="dxa"/>
          </w:tblCellMar>
        </w:tblPrEx>
        <w:trPr>
          <w:trHeight w:val="315" w:hRule="atLeast"/>
        </w:trPr>
        <w:tc>
          <w:tcPr>
            <w:tcW w:w="1125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95F6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注：标注★的为核心课程。</w:t>
            </w:r>
          </w:p>
        </w:tc>
      </w:tr>
    </w:tbl>
    <w:p w14:paraId="147831ED">
      <w:pPr>
        <w:tabs>
          <w:tab w:val="left" w:pos="312"/>
        </w:tabs>
        <w:spacing w:line="440" w:lineRule="exact"/>
        <w:ind w:left="420"/>
        <w:rPr>
          <w:rFonts w:ascii="黑体" w:hAnsi="黑体" w:eastAsia="黑体"/>
          <w:color w:val="000000" w:themeColor="text1"/>
          <w:szCs w:val="21"/>
        </w:rPr>
        <w:sectPr>
          <w:pgSz w:w="11906" w:h="16838"/>
          <w:pgMar w:top="1440" w:right="1797" w:bottom="1440" w:left="1797" w:header="851" w:footer="992" w:gutter="0"/>
          <w:cols w:space="425" w:num="1"/>
          <w:docGrid w:type="linesAndChars" w:linePitch="312" w:charSpace="0"/>
        </w:sectPr>
      </w:pPr>
    </w:p>
    <w:p w14:paraId="2AB27EA6">
      <w:pPr>
        <w:tabs>
          <w:tab w:val="left" w:pos="312"/>
        </w:tabs>
        <w:spacing w:line="440" w:lineRule="exact"/>
        <w:ind w:firstLine="420" w:firstLineChars="200"/>
        <w:rPr>
          <w:rFonts w:ascii="黑体" w:hAnsi="黑体" w:eastAsia="黑体"/>
          <w:color w:val="000000" w:themeColor="text1"/>
          <w:szCs w:val="21"/>
        </w:rPr>
      </w:pPr>
      <w:r>
        <w:rPr>
          <w:rFonts w:hint="eastAsia" w:ascii="黑体" w:hAnsi="黑体" w:eastAsia="黑体"/>
          <w:color w:val="000000" w:themeColor="text1"/>
          <w:szCs w:val="21"/>
        </w:rPr>
        <w:t>（三）学时构成分析</w:t>
      </w:r>
    </w:p>
    <w:tbl>
      <w:tblPr>
        <w:tblStyle w:val="13"/>
        <w:tblW w:w="7560" w:type="dxa"/>
        <w:jc w:val="center"/>
        <w:shd w:val="clear" w:color="auto" w:fill="auto"/>
        <w:tblLayout w:type="fixed"/>
        <w:tblCellMar>
          <w:top w:w="0" w:type="dxa"/>
          <w:left w:w="0" w:type="dxa"/>
          <w:bottom w:w="0" w:type="dxa"/>
          <w:right w:w="0" w:type="dxa"/>
        </w:tblCellMar>
      </w:tblPr>
      <w:tblGrid>
        <w:gridCol w:w="1080"/>
        <w:gridCol w:w="1080"/>
        <w:gridCol w:w="1080"/>
        <w:gridCol w:w="1080"/>
        <w:gridCol w:w="1080"/>
        <w:gridCol w:w="1080"/>
        <w:gridCol w:w="1080"/>
      </w:tblGrid>
      <w:tr w14:paraId="54D5B61F">
        <w:tblPrEx>
          <w:shd w:val="clear" w:color="auto" w:fill="auto"/>
          <w:tblCellMar>
            <w:top w:w="0" w:type="dxa"/>
            <w:left w:w="0" w:type="dxa"/>
            <w:bottom w:w="0" w:type="dxa"/>
            <w:right w:w="0" w:type="dxa"/>
          </w:tblCellMar>
        </w:tblPrEx>
        <w:trPr>
          <w:trHeight w:val="300" w:hRule="atLeast"/>
          <w:jc w:val="center"/>
        </w:trPr>
        <w:tc>
          <w:tcPr>
            <w:tcW w:w="21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2379F4D">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0" w:name="_Hlk48689298"/>
            <w:r>
              <w:rPr>
                <w:rFonts w:hint="eastAsia" w:ascii="宋体" w:hAnsi="宋体" w:eastAsia="宋体" w:cs="宋体"/>
                <w:i w:val="0"/>
                <w:color w:val="000000"/>
                <w:kern w:val="0"/>
                <w:sz w:val="18"/>
                <w:szCs w:val="18"/>
                <w:u w:val="none"/>
                <w:lang w:val="en-US" w:eastAsia="zh-CN" w:bidi="ar"/>
              </w:rPr>
              <w:t>学习模块</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CA7CF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课程门数</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C62BD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学时分配</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7E353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实践教学比例</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0BDD4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70E05C16">
        <w:tblPrEx>
          <w:shd w:val="clear" w:color="auto" w:fill="auto"/>
          <w:tblCellMar>
            <w:top w:w="0" w:type="dxa"/>
            <w:left w:w="0" w:type="dxa"/>
            <w:bottom w:w="0" w:type="dxa"/>
            <w:right w:w="0" w:type="dxa"/>
          </w:tblCellMar>
        </w:tblPrEx>
        <w:trPr>
          <w:trHeight w:val="300" w:hRule="atLeast"/>
          <w:jc w:val="center"/>
        </w:trPr>
        <w:tc>
          <w:tcPr>
            <w:tcW w:w="21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6C32CDA">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6CCF445">
            <w:pPr>
              <w:jc w:val="center"/>
              <w:rPr>
                <w:rFonts w:hint="eastAsia" w:ascii="宋体" w:hAnsi="宋体" w:eastAsia="宋体" w:cs="宋体"/>
                <w:i w:val="0"/>
                <w:color w:val="000000"/>
                <w:sz w:val="18"/>
                <w:szCs w:val="18"/>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49C4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w:t>
            </w:r>
          </w:p>
        </w:tc>
        <w:tc>
          <w:tcPr>
            <w:tcW w:w="1080" w:type="dxa"/>
            <w:tcBorders>
              <w:top w:val="nil"/>
              <w:left w:val="nil"/>
              <w:bottom w:val="nil"/>
              <w:right w:val="single" w:color="000000" w:sz="8" w:space="0"/>
            </w:tcBorders>
            <w:shd w:val="clear" w:color="auto" w:fill="auto"/>
            <w:tcMar>
              <w:top w:w="15" w:type="dxa"/>
              <w:left w:w="15" w:type="dxa"/>
              <w:right w:w="15" w:type="dxa"/>
            </w:tcMar>
            <w:vAlign w:val="center"/>
          </w:tcPr>
          <w:p w14:paraId="42261E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w:t>
            </w: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6B1383E">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E7A660F">
            <w:pPr>
              <w:jc w:val="center"/>
              <w:rPr>
                <w:rFonts w:hint="eastAsia" w:ascii="宋体" w:hAnsi="宋体" w:eastAsia="宋体" w:cs="宋体"/>
                <w:i w:val="0"/>
                <w:color w:val="000000"/>
                <w:sz w:val="18"/>
                <w:szCs w:val="18"/>
                <w:u w:val="none"/>
              </w:rPr>
            </w:pPr>
          </w:p>
        </w:tc>
      </w:tr>
      <w:tr w14:paraId="0755AADF">
        <w:tblPrEx>
          <w:shd w:val="clear" w:color="auto" w:fill="auto"/>
          <w:tblCellMar>
            <w:top w:w="0" w:type="dxa"/>
            <w:left w:w="0" w:type="dxa"/>
            <w:bottom w:w="0" w:type="dxa"/>
            <w:right w:w="0" w:type="dxa"/>
          </w:tblCellMar>
        </w:tblPrEx>
        <w:trPr>
          <w:trHeight w:val="285" w:hRule="atLeast"/>
          <w:jc w:val="center"/>
        </w:trPr>
        <w:tc>
          <w:tcPr>
            <w:tcW w:w="21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777A858">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32AEB85">
            <w:pPr>
              <w:jc w:val="center"/>
              <w:rPr>
                <w:rFonts w:hint="eastAsia" w:ascii="宋体" w:hAnsi="宋体" w:eastAsia="宋体" w:cs="宋体"/>
                <w:i w:val="0"/>
                <w:color w:val="000000"/>
                <w:sz w:val="18"/>
                <w:szCs w:val="18"/>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3125A2">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AAF0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比例</w:t>
            </w: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A570ACB">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C128E9A">
            <w:pPr>
              <w:jc w:val="center"/>
              <w:rPr>
                <w:rFonts w:hint="eastAsia" w:ascii="宋体" w:hAnsi="宋体" w:eastAsia="宋体" w:cs="宋体"/>
                <w:i w:val="0"/>
                <w:color w:val="000000"/>
                <w:sz w:val="18"/>
                <w:szCs w:val="18"/>
                <w:u w:val="none"/>
              </w:rPr>
            </w:pPr>
          </w:p>
        </w:tc>
      </w:tr>
      <w:tr w14:paraId="0F8296C9">
        <w:tblPrEx>
          <w:shd w:val="clear" w:color="auto" w:fill="auto"/>
          <w:tblCellMar>
            <w:top w:w="0" w:type="dxa"/>
            <w:left w:w="0" w:type="dxa"/>
            <w:bottom w:w="0" w:type="dxa"/>
            <w:right w:w="0" w:type="dxa"/>
          </w:tblCellMar>
        </w:tblPrEx>
        <w:trPr>
          <w:trHeight w:val="300"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8D93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2609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公共基础课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C95BB6">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BA4104">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E346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91</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0103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08</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8B8C42">
            <w:pPr>
              <w:jc w:val="center"/>
              <w:rPr>
                <w:rFonts w:hint="eastAsia" w:ascii="宋体" w:hAnsi="宋体" w:eastAsia="宋体" w:cs="宋体"/>
                <w:i w:val="0"/>
                <w:color w:val="000000"/>
                <w:sz w:val="18"/>
                <w:szCs w:val="18"/>
                <w:u w:val="none"/>
              </w:rPr>
            </w:pPr>
          </w:p>
        </w:tc>
      </w:tr>
      <w:tr w14:paraId="3ED7F0C2">
        <w:tblPrEx>
          <w:shd w:val="clear" w:color="auto" w:fill="auto"/>
          <w:tblCellMar>
            <w:top w:w="0" w:type="dxa"/>
            <w:left w:w="0" w:type="dxa"/>
            <w:bottom w:w="0" w:type="dxa"/>
            <w:right w:w="0" w:type="dxa"/>
          </w:tblCellMar>
        </w:tblPrEx>
        <w:trPr>
          <w:trHeight w:val="300"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3ED0CF8">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32B6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6A38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054F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59AE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66</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750B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22</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8E13B3">
            <w:pPr>
              <w:jc w:val="center"/>
              <w:rPr>
                <w:rFonts w:hint="eastAsia" w:ascii="宋体" w:hAnsi="宋体" w:eastAsia="宋体" w:cs="宋体"/>
                <w:i w:val="0"/>
                <w:color w:val="000000"/>
                <w:sz w:val="18"/>
                <w:szCs w:val="18"/>
                <w:u w:val="none"/>
              </w:rPr>
            </w:pPr>
          </w:p>
        </w:tc>
      </w:tr>
      <w:tr w14:paraId="578CBDD1">
        <w:tblPrEx>
          <w:shd w:val="clear" w:color="auto" w:fill="auto"/>
          <w:tblCellMar>
            <w:top w:w="0" w:type="dxa"/>
            <w:left w:w="0" w:type="dxa"/>
            <w:bottom w:w="0" w:type="dxa"/>
            <w:right w:w="0" w:type="dxa"/>
          </w:tblCellMar>
        </w:tblPrEx>
        <w:trPr>
          <w:trHeight w:val="300"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F56E9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3FB1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69C2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E4A65D">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92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CA16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78</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DD5C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69</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A53BA9">
            <w:pPr>
              <w:jc w:val="center"/>
              <w:rPr>
                <w:rFonts w:hint="eastAsia" w:ascii="宋体" w:hAnsi="宋体" w:eastAsia="宋体" w:cs="宋体"/>
                <w:i w:val="0"/>
                <w:color w:val="000000"/>
                <w:sz w:val="18"/>
                <w:szCs w:val="18"/>
                <w:u w:val="none"/>
              </w:rPr>
            </w:pPr>
          </w:p>
        </w:tc>
      </w:tr>
      <w:tr w14:paraId="5D2971F4">
        <w:tblPrEx>
          <w:shd w:val="clear" w:color="auto" w:fill="auto"/>
          <w:tblCellMar>
            <w:top w:w="0" w:type="dxa"/>
            <w:left w:w="0" w:type="dxa"/>
            <w:bottom w:w="0" w:type="dxa"/>
            <w:right w:w="0" w:type="dxa"/>
          </w:tblCellMar>
        </w:tblPrEx>
        <w:trPr>
          <w:trHeight w:val="300"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026B05">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6233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589A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1C26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24FA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65</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8C55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EAF739">
            <w:pPr>
              <w:jc w:val="center"/>
              <w:rPr>
                <w:rFonts w:hint="eastAsia" w:ascii="宋体" w:hAnsi="宋体" w:eastAsia="宋体" w:cs="宋体"/>
                <w:i w:val="0"/>
                <w:color w:val="000000"/>
                <w:sz w:val="18"/>
                <w:szCs w:val="18"/>
                <w:u w:val="none"/>
              </w:rPr>
            </w:pPr>
          </w:p>
        </w:tc>
      </w:tr>
      <w:tr w14:paraId="19F8702A">
        <w:tblPrEx>
          <w:shd w:val="clear" w:color="auto" w:fill="auto"/>
          <w:tblCellMar>
            <w:top w:w="0" w:type="dxa"/>
            <w:left w:w="0" w:type="dxa"/>
            <w:bottom w:w="0" w:type="dxa"/>
            <w:right w:w="0" w:type="dxa"/>
          </w:tblCellMar>
        </w:tblPrEx>
        <w:trPr>
          <w:trHeight w:val="300" w:hRule="atLeast"/>
          <w:jc w:val="center"/>
        </w:trPr>
        <w:tc>
          <w:tcPr>
            <w:tcW w:w="216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B9A3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A5D96C">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8179DD">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CA62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BCB1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r>
              <w:rPr>
                <w:rFonts w:hint="eastAsia" w:ascii="宋体" w:hAnsi="宋体" w:cs="宋体"/>
                <w:i w:val="0"/>
                <w:color w:val="000000"/>
                <w:kern w:val="0"/>
                <w:sz w:val="18"/>
                <w:szCs w:val="18"/>
                <w:u w:val="none"/>
                <w:lang w:val="en-US" w:eastAsia="zh-CN" w:bidi="ar"/>
              </w:rPr>
              <w:t>12</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CE9BDA">
            <w:pPr>
              <w:jc w:val="left"/>
              <w:rPr>
                <w:rFonts w:hint="eastAsia" w:ascii="宋体" w:hAnsi="宋体" w:eastAsia="宋体" w:cs="宋体"/>
                <w:i w:val="0"/>
                <w:color w:val="000000"/>
                <w:sz w:val="18"/>
                <w:szCs w:val="18"/>
                <w:u w:val="none"/>
              </w:rPr>
            </w:pPr>
          </w:p>
        </w:tc>
      </w:tr>
    </w:tbl>
    <w:p w14:paraId="53749099">
      <w:pPr>
        <w:spacing w:line="440" w:lineRule="exact"/>
        <w:ind w:firstLine="420" w:firstLineChars="200"/>
        <w:rPr>
          <w:rFonts w:ascii="黑体" w:hAnsi="宋体" w:eastAsia="黑体"/>
          <w:bCs/>
          <w:sz w:val="24"/>
        </w:rPr>
      </w:pPr>
      <w:r>
        <w:rPr>
          <w:rFonts w:hint="eastAsia" w:ascii="宋体" w:hAnsi="宋体"/>
          <w:szCs w:val="21"/>
        </w:rPr>
        <w:t>注：公共课占总学时比例3</w:t>
      </w:r>
      <w:r>
        <w:rPr>
          <w:rFonts w:hint="eastAsia" w:ascii="宋体" w:hAnsi="宋体"/>
          <w:szCs w:val="21"/>
          <w:lang w:val="en-US" w:eastAsia="zh-CN"/>
        </w:rPr>
        <w:t>8.55</w:t>
      </w:r>
      <w:r>
        <w:rPr>
          <w:rFonts w:hint="eastAsia" w:ascii="宋体" w:hAnsi="宋体"/>
          <w:szCs w:val="21"/>
        </w:rPr>
        <w:t>%，选修课占总学时比例为</w:t>
      </w:r>
      <w:r>
        <w:rPr>
          <w:rFonts w:hint="eastAsia" w:ascii="宋体" w:hAnsi="宋体"/>
          <w:szCs w:val="21"/>
          <w:lang w:val="en-US" w:eastAsia="zh-CN"/>
        </w:rPr>
        <w:t>12.43</w:t>
      </w:r>
      <w:r>
        <w:rPr>
          <w:rFonts w:hint="eastAsia" w:ascii="宋体" w:hAnsi="宋体"/>
          <w:szCs w:val="21"/>
        </w:rPr>
        <w:t>%，实践教学占总学时比例为58.</w:t>
      </w:r>
      <w:r>
        <w:rPr>
          <w:rFonts w:hint="eastAsia" w:ascii="宋体" w:hAnsi="宋体"/>
          <w:szCs w:val="21"/>
          <w:lang w:val="en-US" w:eastAsia="zh-CN"/>
        </w:rPr>
        <w:t>12</w:t>
      </w:r>
      <w:r>
        <w:rPr>
          <w:rFonts w:hint="eastAsia" w:ascii="宋体" w:hAnsi="宋体"/>
          <w:szCs w:val="21"/>
        </w:rPr>
        <w:t>%。</w:t>
      </w:r>
      <w:bookmarkEnd w:id="0"/>
    </w:p>
    <w:p w14:paraId="25E50EF0">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八、实施保障</w:t>
      </w:r>
      <w:bookmarkStart w:id="2" w:name="_GoBack"/>
      <w:bookmarkEnd w:id="2"/>
    </w:p>
    <w:p w14:paraId="19FA4EBA">
      <w:pPr>
        <w:tabs>
          <w:tab w:val="left" w:pos="312"/>
        </w:tabs>
        <w:spacing w:line="440" w:lineRule="exact"/>
        <w:ind w:firstLine="420" w:firstLineChars="200"/>
        <w:rPr>
          <w:rFonts w:ascii="黑体" w:hAnsi="黑体" w:eastAsia="黑体"/>
          <w:color w:val="000000" w:themeColor="text1"/>
          <w:szCs w:val="21"/>
        </w:rPr>
      </w:pPr>
      <w:r>
        <w:rPr>
          <w:rFonts w:hint="eastAsia" w:ascii="黑体" w:hAnsi="黑体" w:eastAsia="黑体"/>
          <w:color w:val="000000" w:themeColor="text1"/>
          <w:szCs w:val="21"/>
        </w:rPr>
        <w:t>（一）师资队伍</w:t>
      </w:r>
    </w:p>
    <w:p w14:paraId="6E72EFD5">
      <w:pPr>
        <w:spacing w:line="440" w:lineRule="exact"/>
        <w:ind w:firstLine="420" w:firstLineChars="200"/>
      </w:pPr>
      <w:r>
        <w:rPr>
          <w:rFonts w:hint="eastAsia"/>
        </w:rPr>
        <w:t>按照人才培养需求和学校工作量标准，配备必需的公共基础课、专业课教师，明确各类教师的基本要求，同时统筹考虑职业指导教师、辅导员等教师的配备。</w:t>
      </w:r>
    </w:p>
    <w:p w14:paraId="200905F3">
      <w:pPr>
        <w:spacing w:line="440" w:lineRule="exact"/>
        <w:ind w:firstLine="420" w:firstLineChars="200"/>
        <w:rPr>
          <w:color w:val="000000" w:themeColor="text1"/>
        </w:rPr>
      </w:pPr>
      <w:r>
        <w:rPr>
          <w:rFonts w:hint="eastAsia"/>
          <w:color w:val="000000" w:themeColor="text1"/>
        </w:rPr>
        <w:t>1.队伍结构</w:t>
      </w:r>
    </w:p>
    <w:p w14:paraId="58A33BED">
      <w:pPr>
        <w:spacing w:line="440" w:lineRule="exact"/>
        <w:ind w:firstLine="420" w:firstLineChars="200"/>
        <w:rPr>
          <w:color w:val="000000" w:themeColor="text1"/>
        </w:rPr>
      </w:pPr>
      <w:r>
        <w:rPr>
          <w:rFonts w:hint="eastAsia"/>
          <w:color w:val="000000" w:themeColor="text1"/>
        </w:rPr>
        <w:t>学生数与本专业专任教师数量比例不高于25：1，双师型教师占专业教师比例不低于60%，研究生学历教师比例不低于60%；专任教师队伍在职称、年龄、学历、企业实践经历等方面要考虑形成合理的梯队结构。</w:t>
      </w:r>
    </w:p>
    <w:p w14:paraId="260B3D70">
      <w:pPr>
        <w:spacing w:line="440" w:lineRule="exact"/>
        <w:ind w:firstLine="420" w:firstLineChars="200"/>
        <w:rPr>
          <w:color w:val="000000" w:themeColor="text1"/>
        </w:rPr>
      </w:pPr>
      <w:r>
        <w:rPr>
          <w:rFonts w:hint="eastAsia"/>
          <w:color w:val="000000" w:themeColor="text1"/>
        </w:rPr>
        <w:t>2.专业带头人</w:t>
      </w:r>
    </w:p>
    <w:p w14:paraId="3E224579">
      <w:pPr>
        <w:spacing w:line="440" w:lineRule="exact"/>
        <w:ind w:firstLine="420" w:firstLineChars="200"/>
        <w:rPr>
          <w:color w:val="000000" w:themeColor="text1"/>
        </w:rPr>
      </w:pPr>
      <w:r>
        <w:rPr>
          <w:color w:val="000000" w:themeColor="text1"/>
        </w:rPr>
        <w:t>专业带头人原则上应具有副高及以上职称，能够较好地把握国内外</w:t>
      </w:r>
      <w:r>
        <w:rPr>
          <w:rFonts w:hint="eastAsia"/>
          <w:color w:val="000000" w:themeColor="text1"/>
        </w:rPr>
        <w:t>金融</w:t>
      </w:r>
      <w:r>
        <w:rPr>
          <w:color w:val="000000" w:themeColor="text1"/>
        </w:rPr>
        <w:t>行业发展动态，能广泛联系行业企业，了解行业企业对本专业人才的需求实际，教学设计、专业研究能力强，组织开展教科研工作能力强，在本区域或本领域具有一定的专业影响力。</w:t>
      </w:r>
    </w:p>
    <w:p w14:paraId="27008357">
      <w:pPr>
        <w:spacing w:line="440" w:lineRule="exact"/>
        <w:ind w:firstLine="420" w:firstLineChars="200"/>
        <w:rPr>
          <w:color w:val="000000" w:themeColor="text1"/>
        </w:rPr>
      </w:pPr>
      <w:r>
        <w:rPr>
          <w:rFonts w:hint="eastAsia"/>
          <w:color w:val="000000" w:themeColor="text1"/>
        </w:rPr>
        <w:t>3.专任教师</w:t>
      </w:r>
    </w:p>
    <w:p w14:paraId="7CBC24C0">
      <w:pPr>
        <w:adjustRightInd w:val="0"/>
        <w:snapToGrid w:val="0"/>
        <w:spacing w:line="440" w:lineRule="exact"/>
        <w:ind w:firstLine="420" w:firstLineChars="200"/>
      </w:pPr>
      <w:r>
        <w:rPr>
          <w:color w:val="000000" w:themeColor="text1"/>
        </w:rPr>
        <w:t>专任教师应具有高校教师资格；有理想信念、有道德情操、有扎实学识、有仁爱之心；具有</w:t>
      </w:r>
      <w:r>
        <w:rPr>
          <w:rFonts w:hint="eastAsia"/>
          <w:color w:val="000000" w:themeColor="text1"/>
          <w:lang w:eastAsia="zh-CN"/>
        </w:rPr>
        <w:t>金融管理</w:t>
      </w:r>
      <w:r>
        <w:rPr>
          <w:color w:val="000000" w:themeColor="text1"/>
        </w:rPr>
        <w:t>等相关专业本科及以上学历；具有扎实的本专业相关理论功底和实践能力；具有较强信息化教学能力，能够开展课程教学改革和科学研究；</w:t>
      </w:r>
      <w:r>
        <w:rPr>
          <w:rFonts w:hint="eastAsia"/>
        </w:rPr>
        <w:t>专任教师每两年到企业实践时间不少于2个月。</w:t>
      </w:r>
    </w:p>
    <w:p w14:paraId="21F5F844">
      <w:pPr>
        <w:spacing w:line="440" w:lineRule="exact"/>
        <w:ind w:firstLine="420" w:firstLineChars="200"/>
        <w:rPr>
          <w:color w:val="000000" w:themeColor="text1"/>
        </w:rPr>
      </w:pPr>
      <w:r>
        <w:rPr>
          <w:rFonts w:hint="eastAsia"/>
          <w:color w:val="000000" w:themeColor="text1"/>
        </w:rPr>
        <w:t>4.兼职教师</w:t>
      </w:r>
    </w:p>
    <w:p w14:paraId="7DD19C63">
      <w:pPr>
        <w:spacing w:line="440" w:lineRule="exact"/>
        <w:ind w:firstLine="420" w:firstLineChars="200"/>
        <w:rPr>
          <w:color w:val="000000" w:themeColor="text1"/>
        </w:rPr>
      </w:pPr>
      <w:r>
        <w:rPr>
          <w:rFonts w:hint="eastAsia"/>
          <w:color w:val="000000" w:themeColor="text1"/>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65551D08">
      <w:pPr>
        <w:tabs>
          <w:tab w:val="left" w:pos="312"/>
        </w:tabs>
        <w:spacing w:line="440" w:lineRule="exact"/>
        <w:ind w:firstLine="420" w:firstLineChars="200"/>
        <w:rPr>
          <w:rFonts w:ascii="黑体" w:hAnsi="黑体" w:eastAsia="黑体"/>
          <w:color w:val="000000" w:themeColor="text1"/>
          <w:szCs w:val="21"/>
        </w:rPr>
      </w:pPr>
      <w:r>
        <w:rPr>
          <w:rFonts w:hint="eastAsia" w:ascii="黑体" w:hAnsi="黑体" w:eastAsia="黑体"/>
          <w:color w:val="000000" w:themeColor="text1"/>
          <w:szCs w:val="21"/>
        </w:rPr>
        <w:t xml:space="preserve">（二）教学设施 </w:t>
      </w:r>
    </w:p>
    <w:p w14:paraId="7932677A">
      <w:pPr>
        <w:spacing w:line="440" w:lineRule="exact"/>
        <w:ind w:firstLine="420" w:firstLineChars="200"/>
        <w:rPr>
          <w:color w:val="000000" w:themeColor="text1"/>
        </w:rPr>
      </w:pPr>
      <w:r>
        <w:rPr>
          <w:rFonts w:hint="eastAsia"/>
          <w:color w:val="000000" w:themeColor="text1"/>
        </w:rPr>
        <w:t>1.专业教室基本配置</w:t>
      </w:r>
    </w:p>
    <w:p w14:paraId="31B33E59">
      <w:pPr>
        <w:spacing w:line="440" w:lineRule="exact"/>
        <w:ind w:firstLine="420" w:firstLineChars="200"/>
        <w:rPr>
          <w:color w:val="000000"/>
        </w:rPr>
      </w:pPr>
      <w:r>
        <w:rPr>
          <w:rFonts w:hint="eastAsia"/>
          <w:color w:val="000000"/>
        </w:rPr>
        <w:t>普通教室配备黑板、讲台、课桌椅等基本设施，能容纳</w:t>
      </w:r>
      <w:r>
        <w:rPr>
          <w:rFonts w:hint="eastAsia"/>
          <w:color w:val="000000"/>
          <w:lang w:val="en-US" w:eastAsia="zh-CN"/>
        </w:rPr>
        <w:t>50</w:t>
      </w:r>
      <w:r>
        <w:rPr>
          <w:rFonts w:hint="eastAsia"/>
          <w:color w:val="000000"/>
        </w:rPr>
        <w:t>人的教学需求；多媒体教室配备多媒体设施，能容纳110人的教学需求；综合实训室配备实训电脑，能容纳1</w:t>
      </w:r>
      <w:r>
        <w:rPr>
          <w:rFonts w:hint="eastAsia"/>
          <w:color w:val="000000"/>
          <w:lang w:val="en-US" w:eastAsia="zh-CN"/>
        </w:rPr>
        <w:t>00</w:t>
      </w:r>
      <w:r>
        <w:rPr>
          <w:rFonts w:hint="eastAsia"/>
          <w:color w:val="000000"/>
        </w:rPr>
        <w:t>人</w:t>
      </w:r>
      <w:r>
        <w:rPr>
          <w:rFonts w:hint="eastAsia"/>
          <w:color w:val="000000"/>
          <w:lang w:eastAsia="zh-CN"/>
        </w:rPr>
        <w:t>左右</w:t>
      </w:r>
      <w:r>
        <w:rPr>
          <w:rFonts w:hint="eastAsia"/>
          <w:color w:val="000000"/>
        </w:rPr>
        <w:t>的教学需求。</w:t>
      </w:r>
    </w:p>
    <w:p w14:paraId="01575624">
      <w:pPr>
        <w:spacing w:line="440" w:lineRule="exact"/>
        <w:ind w:firstLine="420" w:firstLineChars="200"/>
        <w:rPr>
          <w:color w:val="000000" w:themeColor="text1"/>
        </w:rPr>
      </w:pPr>
      <w:r>
        <w:rPr>
          <w:rFonts w:hint="eastAsia"/>
          <w:color w:val="000000" w:themeColor="text1"/>
        </w:rPr>
        <w:t>2.校内实验实训设备</w:t>
      </w:r>
    </w:p>
    <w:tbl>
      <w:tblPr>
        <w:tblStyle w:val="13"/>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791"/>
        <w:gridCol w:w="1985"/>
        <w:gridCol w:w="708"/>
        <w:gridCol w:w="2552"/>
        <w:gridCol w:w="1899"/>
      </w:tblGrid>
      <w:tr w14:paraId="073C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3" w:type="dxa"/>
            <w:vAlign w:val="center"/>
          </w:tcPr>
          <w:p w14:paraId="72D74A68">
            <w:pPr>
              <w:pStyle w:val="25"/>
              <w:tabs>
                <w:tab w:val="clear" w:pos="840"/>
              </w:tabs>
              <w:spacing w:line="276" w:lineRule="auto"/>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序号</w:t>
            </w:r>
          </w:p>
        </w:tc>
        <w:tc>
          <w:tcPr>
            <w:tcW w:w="791" w:type="dxa"/>
            <w:vAlign w:val="center"/>
          </w:tcPr>
          <w:p w14:paraId="56BCB12A">
            <w:pPr>
              <w:pStyle w:val="25"/>
              <w:tabs>
                <w:tab w:val="clear" w:pos="840"/>
              </w:tabs>
              <w:spacing w:line="276" w:lineRule="auto"/>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实训室</w:t>
            </w:r>
          </w:p>
        </w:tc>
        <w:tc>
          <w:tcPr>
            <w:tcW w:w="1985" w:type="dxa"/>
            <w:vAlign w:val="center"/>
          </w:tcPr>
          <w:p w14:paraId="32A19AA7">
            <w:pPr>
              <w:pStyle w:val="25"/>
              <w:tabs>
                <w:tab w:val="clear" w:pos="840"/>
              </w:tabs>
              <w:spacing w:line="276" w:lineRule="auto"/>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设备名称</w:t>
            </w:r>
          </w:p>
        </w:tc>
        <w:tc>
          <w:tcPr>
            <w:tcW w:w="708" w:type="dxa"/>
            <w:vAlign w:val="center"/>
          </w:tcPr>
          <w:p w14:paraId="60E6FC0B">
            <w:pPr>
              <w:pStyle w:val="25"/>
              <w:tabs>
                <w:tab w:val="clear" w:pos="840"/>
              </w:tabs>
              <w:spacing w:line="276" w:lineRule="auto"/>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数量</w:t>
            </w:r>
          </w:p>
        </w:tc>
        <w:tc>
          <w:tcPr>
            <w:tcW w:w="2552" w:type="dxa"/>
            <w:vAlign w:val="center"/>
          </w:tcPr>
          <w:p w14:paraId="58E38188">
            <w:pPr>
              <w:pStyle w:val="25"/>
              <w:tabs>
                <w:tab w:val="clear" w:pos="840"/>
              </w:tabs>
              <w:spacing w:line="276" w:lineRule="auto"/>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实训项目</w:t>
            </w:r>
          </w:p>
        </w:tc>
        <w:tc>
          <w:tcPr>
            <w:tcW w:w="1899" w:type="dxa"/>
            <w:vAlign w:val="center"/>
          </w:tcPr>
          <w:p w14:paraId="6F6A064B">
            <w:pPr>
              <w:pStyle w:val="25"/>
              <w:tabs>
                <w:tab w:val="clear" w:pos="840"/>
              </w:tabs>
              <w:spacing w:line="276" w:lineRule="auto"/>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开课名称</w:t>
            </w:r>
          </w:p>
        </w:tc>
      </w:tr>
      <w:tr w14:paraId="2216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93" w:type="dxa"/>
            <w:vAlign w:val="center"/>
          </w:tcPr>
          <w:p w14:paraId="46770A9A">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w:t>
            </w:r>
          </w:p>
        </w:tc>
        <w:tc>
          <w:tcPr>
            <w:tcW w:w="791" w:type="dxa"/>
            <w:vAlign w:val="center"/>
          </w:tcPr>
          <w:p w14:paraId="52F32723">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开心农场</w:t>
            </w:r>
          </w:p>
        </w:tc>
        <w:tc>
          <w:tcPr>
            <w:tcW w:w="1985" w:type="dxa"/>
            <w:vAlign w:val="center"/>
          </w:tcPr>
          <w:p w14:paraId="4E0CF398">
            <w:pPr>
              <w:adjustRightInd w:val="0"/>
              <w:snapToGrid w:val="0"/>
              <w:spacing w:line="276" w:lineRule="auto"/>
              <w:ind w:firstLine="360" w:firstLineChars="200"/>
              <w:rPr>
                <w:rFonts w:ascii="宋体" w:hAnsi="宋体"/>
                <w:color w:val="000000" w:themeColor="text1"/>
                <w:sz w:val="18"/>
                <w:szCs w:val="18"/>
              </w:rPr>
            </w:pPr>
            <w:r>
              <w:rPr>
                <w:rFonts w:hint="eastAsia" w:ascii="宋体" w:hAnsi="宋体"/>
                <w:color w:val="000000" w:themeColor="text1"/>
                <w:sz w:val="18"/>
                <w:szCs w:val="18"/>
              </w:rPr>
              <w:t>每班对应的菜地及常用的农具以及水渠和浇水工具。</w:t>
            </w:r>
          </w:p>
        </w:tc>
        <w:tc>
          <w:tcPr>
            <w:tcW w:w="708" w:type="dxa"/>
            <w:vAlign w:val="center"/>
          </w:tcPr>
          <w:p w14:paraId="50957D80">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5亩</w:t>
            </w:r>
          </w:p>
        </w:tc>
        <w:tc>
          <w:tcPr>
            <w:tcW w:w="2552" w:type="dxa"/>
            <w:vAlign w:val="center"/>
          </w:tcPr>
          <w:p w14:paraId="716B3AD6">
            <w:pPr>
              <w:pStyle w:val="25"/>
              <w:tabs>
                <w:tab w:val="clear" w:pos="840"/>
              </w:tabs>
              <w:spacing w:line="276" w:lineRule="auto"/>
              <w:jc w:val="left"/>
              <w:rPr>
                <w:rFonts w:ascii="宋体" w:hAnsi="宋体"/>
                <w:color w:val="000000" w:themeColor="text1"/>
                <w:sz w:val="18"/>
                <w:szCs w:val="18"/>
              </w:rPr>
            </w:pPr>
            <w:r>
              <w:rPr>
                <w:rFonts w:hint="eastAsia" w:ascii="宋体" w:hAnsi="宋体"/>
                <w:color w:val="000000" w:themeColor="text1"/>
                <w:sz w:val="18"/>
                <w:szCs w:val="18"/>
              </w:rPr>
              <w:t>（1）农作工具的使用；</w:t>
            </w:r>
          </w:p>
          <w:p w14:paraId="246CAB6E">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（2）农作物的生长规律学习；</w:t>
            </w:r>
          </w:p>
          <w:p w14:paraId="5E6006B5">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（3）农作物的种植；</w:t>
            </w:r>
          </w:p>
          <w:p w14:paraId="2D2C7F61">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（4）农作物的培育及日常养护；</w:t>
            </w:r>
          </w:p>
          <w:p w14:paraId="44A37D29">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（5）农作物产品的经济转化。</w:t>
            </w:r>
          </w:p>
        </w:tc>
        <w:tc>
          <w:tcPr>
            <w:tcW w:w="1899" w:type="dxa"/>
            <w:vAlign w:val="center"/>
          </w:tcPr>
          <w:p w14:paraId="64C3B0F6">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劳动教育</w:t>
            </w:r>
          </w:p>
        </w:tc>
      </w:tr>
      <w:tr w14:paraId="5D673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93" w:type="dxa"/>
            <w:vAlign w:val="center"/>
          </w:tcPr>
          <w:p w14:paraId="2651F2E2">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w:t>
            </w:r>
          </w:p>
        </w:tc>
        <w:tc>
          <w:tcPr>
            <w:tcW w:w="791" w:type="dxa"/>
            <w:vAlign w:val="center"/>
          </w:tcPr>
          <w:p w14:paraId="4033C1B3">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商务礼仪实训室</w:t>
            </w:r>
          </w:p>
        </w:tc>
        <w:tc>
          <w:tcPr>
            <w:tcW w:w="1985" w:type="dxa"/>
            <w:vAlign w:val="center"/>
          </w:tcPr>
          <w:p w14:paraId="1EC9E1B0">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镜子、桌子、椅子、领带、名片、餐具、职业套装</w:t>
            </w:r>
          </w:p>
        </w:tc>
        <w:tc>
          <w:tcPr>
            <w:tcW w:w="708" w:type="dxa"/>
            <w:vAlign w:val="center"/>
          </w:tcPr>
          <w:p w14:paraId="4666A7D1">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1间</w:t>
            </w:r>
          </w:p>
        </w:tc>
        <w:tc>
          <w:tcPr>
            <w:tcW w:w="2552" w:type="dxa"/>
            <w:vAlign w:val="center"/>
          </w:tcPr>
          <w:p w14:paraId="2C7C0C3C">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（1）站姿、坐姿、走姿、蹲姿；</w:t>
            </w:r>
          </w:p>
          <w:p w14:paraId="35E408B9">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（2）职业套装穿搭礼仪；</w:t>
            </w:r>
          </w:p>
          <w:p w14:paraId="08C66153">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（3）微笑礼仪、手势礼仪、指引礼仪，陪同引导礼仪，鞠躬礼仪；</w:t>
            </w:r>
          </w:p>
          <w:p w14:paraId="26C907C9">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（4）介绍礼仪、握手礼仪、名片礼仪；</w:t>
            </w:r>
          </w:p>
          <w:p w14:paraId="6CBBC104">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（5）上下楼梯礼仪、乘电梯礼仪、乘车礼仪、位次礼仪；</w:t>
            </w:r>
          </w:p>
        </w:tc>
        <w:tc>
          <w:tcPr>
            <w:tcW w:w="1899" w:type="dxa"/>
            <w:vAlign w:val="center"/>
          </w:tcPr>
          <w:p w14:paraId="731CC50B">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金融服务礼仪</w:t>
            </w:r>
          </w:p>
        </w:tc>
      </w:tr>
      <w:tr w14:paraId="170C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593" w:type="dxa"/>
            <w:vAlign w:val="center"/>
          </w:tcPr>
          <w:p w14:paraId="49B38019">
            <w:pPr>
              <w:adjustRightInd w:val="0"/>
              <w:snapToGrid w:val="0"/>
              <w:spacing w:line="276" w:lineRule="auto"/>
              <w:rPr>
                <w:rFonts w:hint="eastAsia" w:ascii="宋体" w:hAnsi="宋体" w:eastAsia="宋体"/>
                <w:color w:val="000000" w:themeColor="text1"/>
                <w:sz w:val="18"/>
                <w:szCs w:val="18"/>
                <w:lang w:val="en-US" w:eastAsia="zh-CN"/>
              </w:rPr>
            </w:pPr>
            <w:r>
              <w:rPr>
                <w:rFonts w:hint="eastAsia" w:ascii="宋体" w:hAnsi="宋体"/>
                <w:color w:val="000000" w:themeColor="text1"/>
                <w:sz w:val="18"/>
                <w:szCs w:val="18"/>
                <w:lang w:val="en-US" w:eastAsia="zh-CN"/>
              </w:rPr>
              <w:t>3</w:t>
            </w:r>
          </w:p>
        </w:tc>
        <w:tc>
          <w:tcPr>
            <w:tcW w:w="791" w:type="dxa"/>
            <w:vAlign w:val="center"/>
          </w:tcPr>
          <w:p w14:paraId="6CEEC1B1">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计算机机房</w:t>
            </w:r>
          </w:p>
        </w:tc>
        <w:tc>
          <w:tcPr>
            <w:tcW w:w="1985" w:type="dxa"/>
            <w:vAlign w:val="center"/>
          </w:tcPr>
          <w:p w14:paraId="0248CCED">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联想电脑，键盘鼠标</w:t>
            </w:r>
          </w:p>
        </w:tc>
        <w:tc>
          <w:tcPr>
            <w:tcW w:w="708" w:type="dxa"/>
            <w:vAlign w:val="center"/>
          </w:tcPr>
          <w:p w14:paraId="26729FEE">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2间</w:t>
            </w:r>
          </w:p>
        </w:tc>
        <w:tc>
          <w:tcPr>
            <w:tcW w:w="2552" w:type="dxa"/>
            <w:vAlign w:val="center"/>
          </w:tcPr>
          <w:p w14:paraId="657588FD">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（1）银行业、证券业、保险业市场调研方案编制、调查问卷设计、调研报告撰写；</w:t>
            </w:r>
          </w:p>
          <w:p w14:paraId="28970DF6">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（2）字符录入；金融产品销售以及金融产品销售方案制定。</w:t>
            </w:r>
          </w:p>
        </w:tc>
        <w:tc>
          <w:tcPr>
            <w:tcW w:w="1899" w:type="dxa"/>
            <w:vAlign w:val="center"/>
          </w:tcPr>
          <w:p w14:paraId="4C1D6F28">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市场调查与预测</w:t>
            </w:r>
          </w:p>
          <w:p w14:paraId="7F5AA950">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金融服务营销</w:t>
            </w:r>
          </w:p>
        </w:tc>
      </w:tr>
      <w:tr w14:paraId="254F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3" w:type="dxa"/>
            <w:vAlign w:val="center"/>
          </w:tcPr>
          <w:p w14:paraId="000E9053">
            <w:pPr>
              <w:adjustRightInd w:val="0"/>
              <w:snapToGrid w:val="0"/>
              <w:spacing w:line="276" w:lineRule="auto"/>
              <w:rPr>
                <w:rFonts w:hint="eastAsia" w:ascii="宋体" w:hAnsi="宋体" w:eastAsia="宋体"/>
                <w:color w:val="000000" w:themeColor="text1"/>
                <w:sz w:val="18"/>
                <w:szCs w:val="18"/>
                <w:lang w:val="en-US" w:eastAsia="zh-CN"/>
              </w:rPr>
            </w:pPr>
            <w:r>
              <w:rPr>
                <w:rFonts w:hint="eastAsia" w:ascii="宋体" w:hAnsi="宋体"/>
                <w:color w:val="000000" w:themeColor="text1"/>
                <w:sz w:val="18"/>
                <w:szCs w:val="18"/>
                <w:lang w:val="en-US" w:eastAsia="zh-CN"/>
              </w:rPr>
              <w:t>4</w:t>
            </w:r>
          </w:p>
        </w:tc>
        <w:tc>
          <w:tcPr>
            <w:tcW w:w="791" w:type="dxa"/>
            <w:vAlign w:val="center"/>
          </w:tcPr>
          <w:p w14:paraId="64D35EFD">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金融实训室</w:t>
            </w:r>
          </w:p>
        </w:tc>
        <w:tc>
          <w:tcPr>
            <w:tcW w:w="1985" w:type="dxa"/>
            <w:vAlign w:val="center"/>
          </w:tcPr>
          <w:p w14:paraId="3D113FA9">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多媒体设备、投影设备、黑（白）板、联想电脑、键盘、鼠标、常用办公软件、相关实训软件</w:t>
            </w:r>
          </w:p>
        </w:tc>
        <w:tc>
          <w:tcPr>
            <w:tcW w:w="708" w:type="dxa"/>
            <w:vAlign w:val="center"/>
          </w:tcPr>
          <w:p w14:paraId="7C22CB6B">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1间</w:t>
            </w:r>
          </w:p>
        </w:tc>
        <w:tc>
          <w:tcPr>
            <w:tcW w:w="2552" w:type="dxa"/>
            <w:vAlign w:val="center"/>
          </w:tcPr>
          <w:p w14:paraId="763808E9">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（1）证券交易业务业务处理；</w:t>
            </w:r>
          </w:p>
          <w:p w14:paraId="5AAB65FE">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（2）保险基础业务处理；</w:t>
            </w:r>
          </w:p>
          <w:p w14:paraId="0454A90F">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（3）理财方案设计；</w:t>
            </w:r>
          </w:p>
          <w:p w14:paraId="5EBAF81C">
            <w:pPr>
              <w:adjustRightInd w:val="0"/>
              <w:snapToGrid w:val="0"/>
              <w:spacing w:line="276" w:lineRule="auto"/>
              <w:rPr>
                <w:rFonts w:hint="eastAsia" w:ascii="宋体" w:hAnsi="宋体"/>
                <w:color w:val="000000" w:themeColor="text1"/>
                <w:sz w:val="18"/>
                <w:szCs w:val="18"/>
              </w:rPr>
            </w:pPr>
            <w:r>
              <w:rPr>
                <w:rFonts w:hint="eastAsia" w:ascii="宋体" w:hAnsi="宋体"/>
                <w:color w:val="000000" w:themeColor="text1"/>
                <w:sz w:val="18"/>
                <w:szCs w:val="18"/>
              </w:rPr>
              <w:t>（4）汽车金融方案设计；</w:t>
            </w:r>
          </w:p>
          <w:p w14:paraId="17273EB4">
            <w:pPr>
              <w:adjustRightInd w:val="0"/>
              <w:snapToGrid w:val="0"/>
              <w:spacing w:line="276" w:lineRule="auto"/>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eastAsia="zh-CN"/>
              </w:rPr>
              <w:t>（</w:t>
            </w:r>
            <w:r>
              <w:rPr>
                <w:rFonts w:hint="eastAsia" w:ascii="宋体" w:hAnsi="宋体"/>
                <w:color w:val="000000" w:themeColor="text1"/>
                <w:sz w:val="18"/>
                <w:szCs w:val="18"/>
                <w:lang w:val="en-US" w:eastAsia="zh-CN"/>
              </w:rPr>
              <w:t>5</w:t>
            </w:r>
            <w:r>
              <w:rPr>
                <w:rFonts w:hint="eastAsia" w:ascii="宋体" w:hAnsi="宋体"/>
                <w:color w:val="000000" w:themeColor="text1"/>
                <w:sz w:val="18"/>
                <w:szCs w:val="18"/>
                <w:lang w:eastAsia="zh-CN"/>
              </w:rPr>
              <w:t>）风险分析</w:t>
            </w:r>
          </w:p>
        </w:tc>
        <w:tc>
          <w:tcPr>
            <w:tcW w:w="1899" w:type="dxa"/>
            <w:vAlign w:val="center"/>
          </w:tcPr>
          <w:p w14:paraId="73BD662C">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证券投资理论与实务</w:t>
            </w:r>
          </w:p>
          <w:p w14:paraId="07FEFF92">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保险理论与实务</w:t>
            </w:r>
          </w:p>
          <w:p w14:paraId="53C11CC0">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个人理财</w:t>
            </w:r>
          </w:p>
          <w:p w14:paraId="7FDB3B83">
            <w:pPr>
              <w:adjustRightInd w:val="0"/>
              <w:snapToGrid w:val="0"/>
              <w:spacing w:line="276" w:lineRule="auto"/>
              <w:rPr>
                <w:rFonts w:hint="eastAsia" w:ascii="宋体" w:hAnsi="宋体"/>
                <w:color w:val="000000" w:themeColor="text1"/>
                <w:sz w:val="18"/>
                <w:szCs w:val="18"/>
              </w:rPr>
            </w:pPr>
            <w:r>
              <w:rPr>
                <w:rFonts w:hint="eastAsia" w:ascii="宋体" w:hAnsi="宋体"/>
                <w:color w:val="000000" w:themeColor="text1"/>
                <w:sz w:val="18"/>
                <w:szCs w:val="18"/>
              </w:rPr>
              <w:t>汽车金融</w:t>
            </w:r>
          </w:p>
          <w:p w14:paraId="7FE222EF">
            <w:pPr>
              <w:adjustRightInd w:val="0"/>
              <w:snapToGrid w:val="0"/>
              <w:spacing w:line="276" w:lineRule="auto"/>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eastAsia="zh-CN"/>
              </w:rPr>
              <w:t>风险管理</w:t>
            </w:r>
          </w:p>
        </w:tc>
      </w:tr>
    </w:tbl>
    <w:p w14:paraId="011C835A">
      <w:pPr>
        <w:spacing w:line="440" w:lineRule="exact"/>
        <w:ind w:firstLine="420" w:firstLineChars="200"/>
        <w:rPr>
          <w:color w:val="000000" w:themeColor="text1"/>
        </w:rPr>
      </w:pPr>
      <w:r>
        <w:rPr>
          <w:rFonts w:hint="eastAsia"/>
          <w:color w:val="000000" w:themeColor="text1"/>
        </w:rPr>
        <w:t>3.校外实习基地</w:t>
      </w:r>
    </w:p>
    <w:tbl>
      <w:tblPr>
        <w:tblStyle w:val="13"/>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2970"/>
        <w:gridCol w:w="2489"/>
        <w:gridCol w:w="1967"/>
      </w:tblGrid>
      <w:tr w14:paraId="1004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83" w:type="dxa"/>
            <w:vAlign w:val="center"/>
          </w:tcPr>
          <w:p w14:paraId="7A60BD9A">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序号</w:t>
            </w:r>
          </w:p>
        </w:tc>
        <w:tc>
          <w:tcPr>
            <w:tcW w:w="2970" w:type="dxa"/>
            <w:vAlign w:val="center"/>
          </w:tcPr>
          <w:p w14:paraId="2EC56D30">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合作企业名称</w:t>
            </w:r>
          </w:p>
        </w:tc>
        <w:tc>
          <w:tcPr>
            <w:tcW w:w="2489" w:type="dxa"/>
            <w:vAlign w:val="center"/>
          </w:tcPr>
          <w:p w14:paraId="4D7E5A1F">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用途</w:t>
            </w:r>
          </w:p>
        </w:tc>
        <w:tc>
          <w:tcPr>
            <w:tcW w:w="1967" w:type="dxa"/>
            <w:vAlign w:val="center"/>
          </w:tcPr>
          <w:p w14:paraId="6F258F22">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实习内容</w:t>
            </w:r>
          </w:p>
        </w:tc>
      </w:tr>
      <w:tr w14:paraId="0748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59DACE8B">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2970" w:type="dxa"/>
            <w:vAlign w:val="center"/>
          </w:tcPr>
          <w:p w14:paraId="09C02430">
            <w:pPr>
              <w:jc w:val="center"/>
              <w:rPr>
                <w:rFonts w:ascii="宋体" w:hAnsi="宋体"/>
                <w:color w:val="000000" w:themeColor="text1"/>
                <w:sz w:val="18"/>
                <w:szCs w:val="18"/>
              </w:rPr>
            </w:pPr>
            <w:r>
              <w:rPr>
                <w:rFonts w:hint="eastAsia" w:ascii="宋体" w:hAnsi="宋体" w:cs="宋体"/>
                <w:color w:val="000000" w:themeColor="text1"/>
                <w:sz w:val="18"/>
                <w:szCs w:val="18"/>
              </w:rPr>
              <w:t>湖南吉迈汽车贸易有限公司</w:t>
            </w:r>
          </w:p>
        </w:tc>
        <w:tc>
          <w:tcPr>
            <w:tcW w:w="2489" w:type="dxa"/>
            <w:vAlign w:val="center"/>
          </w:tcPr>
          <w:p w14:paraId="37D750CF">
            <w:pPr>
              <w:pStyle w:val="25"/>
              <w:tabs>
                <w:tab w:val="clear" w:pos="840"/>
              </w:tabs>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1967" w:type="dxa"/>
            <w:vAlign w:val="center"/>
          </w:tcPr>
          <w:p w14:paraId="29C3DF6F">
            <w:pPr>
              <w:pStyle w:val="25"/>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汽车金融、汽车保险理赔、</w:t>
            </w:r>
            <w:r>
              <w:rPr>
                <w:rFonts w:hint="eastAsia" w:ascii="宋体" w:hAnsi="宋体"/>
                <w:color w:val="000000" w:themeColor="text1"/>
                <w:sz w:val="18"/>
                <w:szCs w:val="18"/>
                <w:lang w:eastAsia="zh-CN"/>
              </w:rPr>
              <w:t>保险产品销售</w:t>
            </w:r>
          </w:p>
        </w:tc>
      </w:tr>
      <w:tr w14:paraId="305A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79445AB0">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2970" w:type="dxa"/>
            <w:vAlign w:val="center"/>
          </w:tcPr>
          <w:p w14:paraId="00214E42">
            <w:pPr>
              <w:pStyle w:val="25"/>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湖南湘潭吉越汽车服务有限公司</w:t>
            </w:r>
          </w:p>
        </w:tc>
        <w:tc>
          <w:tcPr>
            <w:tcW w:w="2489" w:type="dxa"/>
            <w:vAlign w:val="center"/>
          </w:tcPr>
          <w:p w14:paraId="622F661E">
            <w:pPr>
              <w:pStyle w:val="25"/>
              <w:tabs>
                <w:tab w:val="clear" w:pos="840"/>
              </w:tabs>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1967" w:type="dxa"/>
            <w:vAlign w:val="center"/>
          </w:tcPr>
          <w:p w14:paraId="7C538910">
            <w:pPr>
              <w:pStyle w:val="25"/>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汽车金融、汽车保险理赔、</w:t>
            </w:r>
            <w:r>
              <w:rPr>
                <w:rFonts w:hint="eastAsia" w:ascii="宋体" w:hAnsi="宋体"/>
                <w:color w:val="000000" w:themeColor="text1"/>
                <w:sz w:val="18"/>
                <w:szCs w:val="18"/>
                <w:lang w:eastAsia="zh-CN"/>
              </w:rPr>
              <w:t>保险产品销售</w:t>
            </w:r>
          </w:p>
        </w:tc>
      </w:tr>
      <w:tr w14:paraId="4F77C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728235CF">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3</w:t>
            </w:r>
          </w:p>
        </w:tc>
        <w:tc>
          <w:tcPr>
            <w:tcW w:w="2970" w:type="dxa"/>
            <w:vAlign w:val="center"/>
          </w:tcPr>
          <w:p w14:paraId="10B99B70">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湖南湘潭吉耀汽车服务有限公司</w:t>
            </w:r>
          </w:p>
        </w:tc>
        <w:tc>
          <w:tcPr>
            <w:tcW w:w="2489" w:type="dxa"/>
            <w:vAlign w:val="center"/>
          </w:tcPr>
          <w:p w14:paraId="4F9DA6BF">
            <w:pPr>
              <w:pStyle w:val="25"/>
              <w:tabs>
                <w:tab w:val="clear" w:pos="840"/>
              </w:tabs>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1967" w:type="dxa"/>
            <w:vAlign w:val="center"/>
          </w:tcPr>
          <w:p w14:paraId="47281D55">
            <w:pPr>
              <w:pStyle w:val="25"/>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汽车金融、汽车保险理赔、</w:t>
            </w:r>
            <w:r>
              <w:rPr>
                <w:rFonts w:hint="eastAsia" w:ascii="宋体" w:hAnsi="宋体"/>
                <w:color w:val="000000" w:themeColor="text1"/>
                <w:sz w:val="18"/>
                <w:szCs w:val="18"/>
                <w:lang w:eastAsia="zh-CN"/>
              </w:rPr>
              <w:t>保险产品销售</w:t>
            </w:r>
          </w:p>
        </w:tc>
      </w:tr>
      <w:tr w14:paraId="2D49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4A864641">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4</w:t>
            </w:r>
          </w:p>
        </w:tc>
        <w:tc>
          <w:tcPr>
            <w:tcW w:w="2970" w:type="dxa"/>
            <w:vAlign w:val="center"/>
          </w:tcPr>
          <w:p w14:paraId="4435DA24">
            <w:pPr>
              <w:adjustRightInd w:val="0"/>
              <w:snapToGrid w:val="0"/>
              <w:spacing w:line="276" w:lineRule="auto"/>
              <w:jc w:val="center"/>
              <w:rPr>
                <w:rFonts w:ascii="宋体" w:hAnsi="宋体"/>
                <w:color w:val="000000" w:themeColor="text1"/>
                <w:sz w:val="18"/>
                <w:szCs w:val="18"/>
              </w:rPr>
            </w:pPr>
            <w:r>
              <w:rPr>
                <w:rFonts w:hint="eastAsia" w:ascii="宋体" w:hAnsi="宋体" w:cs="宋体"/>
                <w:color w:val="000000" w:themeColor="text1"/>
                <w:sz w:val="18"/>
                <w:szCs w:val="18"/>
              </w:rPr>
              <w:t>长沙合致汽车销售服务有限公司</w:t>
            </w:r>
          </w:p>
        </w:tc>
        <w:tc>
          <w:tcPr>
            <w:tcW w:w="2489" w:type="dxa"/>
            <w:vAlign w:val="center"/>
          </w:tcPr>
          <w:p w14:paraId="65D9A4AE">
            <w:pPr>
              <w:pStyle w:val="25"/>
              <w:tabs>
                <w:tab w:val="clear" w:pos="840"/>
              </w:tabs>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1967" w:type="dxa"/>
            <w:vAlign w:val="center"/>
          </w:tcPr>
          <w:p w14:paraId="2D10F75D">
            <w:pPr>
              <w:pStyle w:val="25"/>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汽车金融、汽车保险理赔、</w:t>
            </w:r>
            <w:r>
              <w:rPr>
                <w:rFonts w:hint="eastAsia" w:ascii="宋体" w:hAnsi="宋体"/>
                <w:color w:val="000000" w:themeColor="text1"/>
                <w:sz w:val="18"/>
                <w:szCs w:val="18"/>
                <w:lang w:eastAsia="zh-CN"/>
              </w:rPr>
              <w:t>保险产品销售</w:t>
            </w:r>
          </w:p>
        </w:tc>
      </w:tr>
      <w:tr w14:paraId="3E8F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4CEEE531">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5</w:t>
            </w:r>
          </w:p>
        </w:tc>
        <w:tc>
          <w:tcPr>
            <w:tcW w:w="2970" w:type="dxa"/>
            <w:vAlign w:val="center"/>
          </w:tcPr>
          <w:p w14:paraId="208F2673">
            <w:pPr>
              <w:adjustRightInd w:val="0"/>
              <w:snapToGrid w:val="0"/>
              <w:spacing w:line="276" w:lineRule="auto"/>
              <w:jc w:val="center"/>
              <w:rPr>
                <w:rFonts w:ascii="宋体" w:hAnsi="宋体"/>
                <w:color w:val="000000" w:themeColor="text1"/>
                <w:sz w:val="18"/>
                <w:szCs w:val="18"/>
              </w:rPr>
            </w:pPr>
            <w:r>
              <w:fldChar w:fldCharType="begin"/>
            </w:r>
            <w:r>
              <w:instrText xml:space="preserve"> HYPERLINK "http://www.baidu.com/link?url=sey7epCA9v9EwMSd8sJzjwzsTN_4W1AI2aex2ypCdNmJ4fGMDpyoy-vFK98BR00Ww2WZ54vs7cUgxqvtg_KMX1x2Ak4kgEIGWV6U7hqSUoabuReUiExQSzLNiR6OaL_LzkE1iYwbHVaSMrbJv9wFyib7xJwOa8EF964Qf4B6jUQ0ER1Off1nXdSzClYwx5J3xrKjfQkg4YSlGtB2n5LEtNUW0ye8PnQ3taQVIpdHMnG" \t "_blank" </w:instrText>
            </w:r>
            <w:r>
              <w:fldChar w:fldCharType="separate"/>
            </w:r>
            <w:r>
              <w:rPr>
                <w:rFonts w:ascii="宋体" w:hAnsi="宋体" w:cs="宋体"/>
                <w:color w:val="000000" w:themeColor="text1"/>
                <w:sz w:val="18"/>
                <w:szCs w:val="18"/>
              </w:rPr>
              <w:t>长沙华丰汽车贸易有限公司</w:t>
            </w:r>
            <w:r>
              <w:rPr>
                <w:rFonts w:ascii="宋体" w:hAnsi="宋体" w:cs="宋体"/>
                <w:color w:val="000000" w:themeColor="text1"/>
                <w:sz w:val="18"/>
                <w:szCs w:val="18"/>
              </w:rPr>
              <w:fldChar w:fldCharType="end"/>
            </w:r>
          </w:p>
        </w:tc>
        <w:tc>
          <w:tcPr>
            <w:tcW w:w="2489" w:type="dxa"/>
            <w:vAlign w:val="center"/>
          </w:tcPr>
          <w:p w14:paraId="0816B351">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1967" w:type="dxa"/>
            <w:vAlign w:val="center"/>
          </w:tcPr>
          <w:p w14:paraId="49877EC9">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汽车金融、汽车保险理赔、</w:t>
            </w:r>
            <w:r>
              <w:rPr>
                <w:rFonts w:hint="eastAsia" w:ascii="宋体" w:hAnsi="宋体"/>
                <w:color w:val="000000" w:themeColor="text1"/>
                <w:sz w:val="18"/>
                <w:szCs w:val="18"/>
                <w:lang w:eastAsia="zh-CN"/>
              </w:rPr>
              <w:t>保险产品销售</w:t>
            </w:r>
          </w:p>
        </w:tc>
      </w:tr>
      <w:tr w14:paraId="294E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14:paraId="75FD1C5C">
            <w:pPr>
              <w:pStyle w:val="25"/>
              <w:tabs>
                <w:tab w:val="clear" w:pos="840"/>
              </w:tabs>
              <w:spacing w:line="276" w:lineRule="auto"/>
              <w:jc w:val="center"/>
              <w:rPr>
                <w:rFonts w:hint="eastAsia" w:ascii="宋体" w:hAnsi="宋体" w:eastAsia="宋体"/>
                <w:color w:val="000000" w:themeColor="text1"/>
                <w:sz w:val="18"/>
                <w:szCs w:val="18"/>
                <w:lang w:val="en-US" w:eastAsia="zh-CN"/>
              </w:rPr>
            </w:pPr>
            <w:r>
              <w:rPr>
                <w:rFonts w:hint="eastAsia" w:ascii="宋体" w:hAnsi="宋体"/>
                <w:color w:val="000000" w:themeColor="text1"/>
                <w:sz w:val="18"/>
                <w:szCs w:val="18"/>
                <w:lang w:val="en-US" w:eastAsia="zh-CN"/>
              </w:rPr>
              <w:t>6</w:t>
            </w:r>
          </w:p>
        </w:tc>
        <w:tc>
          <w:tcPr>
            <w:tcW w:w="2970" w:type="dxa"/>
            <w:vAlign w:val="center"/>
          </w:tcPr>
          <w:p w14:paraId="6376349E">
            <w:pPr>
              <w:adjustRightInd w:val="0"/>
              <w:snapToGrid w:val="0"/>
              <w:spacing w:line="276" w:lineRule="auto"/>
              <w:jc w:val="center"/>
              <w:rPr>
                <w:rFonts w:hint="eastAsia" w:ascii="宋体" w:hAnsi="宋体" w:cs="宋体"/>
                <w:color w:val="000000" w:themeColor="text1"/>
                <w:sz w:val="18"/>
                <w:szCs w:val="18"/>
                <w:lang w:eastAsia="zh-CN"/>
              </w:rPr>
            </w:pPr>
            <w:r>
              <w:rPr>
                <w:rFonts w:hint="eastAsia" w:ascii="宋体" w:hAnsi="宋体" w:cs="宋体"/>
                <w:color w:val="000000" w:themeColor="text1"/>
                <w:sz w:val="18"/>
                <w:szCs w:val="18"/>
                <w:lang w:eastAsia="zh-CN"/>
              </w:rPr>
              <w:t>湖南帝豪汽车销售服务有限公司</w:t>
            </w:r>
          </w:p>
        </w:tc>
        <w:tc>
          <w:tcPr>
            <w:tcW w:w="2489" w:type="dxa"/>
            <w:vAlign w:val="center"/>
          </w:tcPr>
          <w:p w14:paraId="42E9E5C0">
            <w:pPr>
              <w:adjustRightInd w:val="0"/>
              <w:snapToGrid w:val="0"/>
              <w:spacing w:line="276" w:lineRule="auto"/>
              <w:jc w:val="center"/>
              <w:rPr>
                <w:rFonts w:hint="eastAsia" w:ascii="宋体" w:hAnsi="宋体" w:cs="宋体"/>
                <w:color w:val="000000" w:themeColor="text1"/>
                <w:sz w:val="18"/>
                <w:szCs w:val="18"/>
                <w:lang w:val="en-US" w:eastAsia="zh-CN"/>
              </w:rPr>
            </w:pPr>
            <w:r>
              <w:rPr>
                <w:rFonts w:hint="eastAsia" w:ascii="宋体" w:hAnsi="宋体" w:cs="宋体"/>
                <w:color w:val="000000" w:themeColor="text1"/>
                <w:sz w:val="18"/>
                <w:szCs w:val="18"/>
                <w:lang w:val="en-US" w:eastAsia="zh-CN"/>
              </w:rPr>
              <w:t>认识</w:t>
            </w:r>
            <w:r>
              <w:rPr>
                <w:rFonts w:hint="eastAsia" w:ascii="宋体" w:hAnsi="宋体" w:cs="宋体"/>
                <w:color w:val="000000" w:themeColor="text1"/>
                <w:sz w:val="18"/>
                <w:szCs w:val="18"/>
              </w:rPr>
              <w:t>实习、</w:t>
            </w:r>
            <w:r>
              <w:rPr>
                <w:rFonts w:hint="eastAsia" w:ascii="宋体" w:hAnsi="宋体" w:cs="宋体"/>
                <w:color w:val="000000" w:themeColor="text1"/>
                <w:sz w:val="18"/>
                <w:szCs w:val="18"/>
                <w:lang w:val="en-US" w:eastAsia="zh-CN"/>
              </w:rPr>
              <w:t>岗位</w:t>
            </w:r>
            <w:r>
              <w:rPr>
                <w:rFonts w:hint="eastAsia" w:ascii="宋体" w:hAnsi="宋体" w:cs="宋体"/>
                <w:color w:val="000000" w:themeColor="text1"/>
                <w:sz w:val="18"/>
                <w:szCs w:val="18"/>
              </w:rPr>
              <w:t>实习</w:t>
            </w:r>
          </w:p>
        </w:tc>
        <w:tc>
          <w:tcPr>
            <w:tcW w:w="1967" w:type="dxa"/>
            <w:vAlign w:val="center"/>
          </w:tcPr>
          <w:p w14:paraId="5FEF5041">
            <w:pPr>
              <w:adjustRightInd w:val="0"/>
              <w:snapToGrid w:val="0"/>
              <w:spacing w:line="276" w:lineRule="auto"/>
              <w:jc w:val="center"/>
              <w:rPr>
                <w:rFonts w:hint="eastAsia" w:ascii="宋体" w:hAnsi="宋体" w:eastAsia="宋体" w:cs="Times New Roman"/>
                <w:color w:val="000000" w:themeColor="text1"/>
                <w:kern w:val="2"/>
                <w:sz w:val="18"/>
                <w:szCs w:val="18"/>
                <w:lang w:val="en-US" w:eastAsia="zh-CN" w:bidi="ar-SA"/>
              </w:rPr>
            </w:pPr>
            <w:r>
              <w:rPr>
                <w:rFonts w:hint="eastAsia" w:ascii="宋体" w:hAnsi="宋体"/>
                <w:color w:val="000000" w:themeColor="text1"/>
                <w:sz w:val="18"/>
                <w:szCs w:val="18"/>
              </w:rPr>
              <w:t>汽车金融、汽车保险理赔、</w:t>
            </w:r>
            <w:r>
              <w:rPr>
                <w:rFonts w:hint="eastAsia" w:ascii="宋体" w:hAnsi="宋体"/>
                <w:color w:val="000000" w:themeColor="text1"/>
                <w:sz w:val="18"/>
                <w:szCs w:val="18"/>
                <w:lang w:eastAsia="zh-CN"/>
              </w:rPr>
              <w:t>保险产品销售</w:t>
            </w:r>
          </w:p>
        </w:tc>
      </w:tr>
    </w:tbl>
    <w:p w14:paraId="09BDBA9D">
      <w:pPr>
        <w:tabs>
          <w:tab w:val="left" w:pos="312"/>
        </w:tabs>
        <w:spacing w:line="440" w:lineRule="exact"/>
        <w:ind w:firstLine="420" w:firstLineChars="200"/>
        <w:rPr>
          <w:rFonts w:ascii="黑体" w:hAnsi="黑体" w:eastAsia="黑体"/>
          <w:color w:val="000000" w:themeColor="text1"/>
          <w:szCs w:val="21"/>
        </w:rPr>
      </w:pPr>
      <w:r>
        <w:rPr>
          <w:rFonts w:hint="eastAsia" w:ascii="黑体" w:hAnsi="黑体" w:eastAsia="黑体"/>
          <w:color w:val="000000" w:themeColor="text1"/>
          <w:szCs w:val="21"/>
        </w:rPr>
        <w:t>（三）教学资源</w:t>
      </w:r>
    </w:p>
    <w:p w14:paraId="4701B43C">
      <w:pPr>
        <w:spacing w:line="440" w:lineRule="exact"/>
        <w:ind w:firstLine="420" w:firstLineChars="200"/>
        <w:rPr>
          <w:color w:val="000000" w:themeColor="text1"/>
        </w:rPr>
      </w:pPr>
      <w:r>
        <w:rPr>
          <w:rFonts w:hint="eastAsia"/>
          <w:color w:val="000000" w:themeColor="text1"/>
        </w:rPr>
        <w:t>1.教材选用的基本要求</w:t>
      </w:r>
    </w:p>
    <w:p w14:paraId="3CE3E147">
      <w:pPr>
        <w:snapToGrid w:val="0"/>
        <w:spacing w:line="400" w:lineRule="exact"/>
        <w:ind w:firstLine="420" w:firstLineChars="200"/>
        <w:rPr>
          <w:color w:val="000000" w:themeColor="text1"/>
        </w:rPr>
      </w:pPr>
      <w:r>
        <w:rPr>
          <w:rFonts w:hint="eastAsia" w:ascii="宋体" w:hAnsi="宋体"/>
          <w:color w:val="000000"/>
          <w:szCs w:val="21"/>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3691BB62">
      <w:pPr>
        <w:spacing w:line="440" w:lineRule="exact"/>
        <w:ind w:firstLine="420" w:firstLineChars="200"/>
        <w:rPr>
          <w:color w:val="000000" w:themeColor="text1"/>
        </w:rPr>
      </w:pPr>
      <w:r>
        <w:rPr>
          <w:rFonts w:hint="eastAsia"/>
          <w:color w:val="000000" w:themeColor="text1"/>
        </w:rPr>
        <w:t>2.图书文献、数字资源的基本要求</w:t>
      </w:r>
    </w:p>
    <w:p w14:paraId="6A04D6B2">
      <w:pPr>
        <w:snapToGrid w:val="0"/>
        <w:spacing w:line="400" w:lineRule="exact"/>
        <w:ind w:firstLine="420" w:firstLineChars="200"/>
        <w:rPr>
          <w:rFonts w:ascii="宋体" w:hAnsi="宋体"/>
          <w:color w:val="000000"/>
          <w:szCs w:val="21"/>
        </w:rPr>
      </w:pPr>
      <w:r>
        <w:rPr>
          <w:rFonts w:hint="eastAsia" w:ascii="宋体" w:hAnsi="宋体"/>
          <w:color w:val="000000"/>
          <w:szCs w:val="21"/>
        </w:rPr>
        <w:t>图书文献配备能够满足本专业人才培养、专业建设、教科研等工作的需要，方便师生查询、借阅。专业类图书文献主要包括经济、管理、法律和文化类文献等，生均图书不少于60册。</w:t>
      </w:r>
    </w:p>
    <w:p w14:paraId="0F94418A">
      <w:pPr>
        <w:snapToGrid w:val="0"/>
        <w:spacing w:line="400" w:lineRule="exact"/>
        <w:ind w:firstLine="420" w:firstLineChars="200"/>
        <w:rPr>
          <w:rFonts w:ascii="宋体" w:hAnsi="宋体"/>
          <w:szCs w:val="21"/>
        </w:rPr>
      </w:pPr>
      <w:bookmarkStart w:id="1" w:name="_Toc49096745"/>
      <w:r>
        <w:rPr>
          <w:rFonts w:hint="eastAsia" w:ascii="宋体" w:hAnsi="宋体"/>
          <w:szCs w:val="21"/>
        </w:rPr>
        <w:t>3.数字资源配备基本要求</w:t>
      </w:r>
      <w:bookmarkEnd w:id="1"/>
    </w:p>
    <w:p w14:paraId="5FB0DBA7">
      <w:pPr>
        <w:snapToGrid w:val="0"/>
        <w:spacing w:line="400" w:lineRule="exact"/>
        <w:ind w:firstLine="420" w:firstLineChars="200"/>
        <w:rPr>
          <w:rFonts w:ascii="宋体" w:hAnsi="宋体"/>
          <w:szCs w:val="21"/>
        </w:rPr>
      </w:pPr>
      <w:r>
        <w:rPr>
          <w:rFonts w:hint="eastAsia" w:ascii="宋体" w:hAnsi="宋体"/>
          <w:szCs w:val="21"/>
        </w:rPr>
        <w:t>建设、配备与本专业有关的音视频素材、教学课件、数字化教学案例库、数字教材等专业教学资源库，种类丰富、形式多样、使用便捷、动态更新，能够满足信息化教学的基本要求。</w:t>
      </w:r>
    </w:p>
    <w:p w14:paraId="03AF7793">
      <w:pPr>
        <w:snapToGrid w:val="0"/>
        <w:spacing w:line="400" w:lineRule="exact"/>
        <w:ind w:firstLine="420" w:firstLineChars="200"/>
        <w:rPr>
          <w:rFonts w:ascii="宋体" w:hAnsi="宋体"/>
          <w:color w:val="000000"/>
          <w:szCs w:val="21"/>
        </w:rPr>
      </w:pPr>
      <w:r>
        <w:rPr>
          <w:rFonts w:hint="eastAsia" w:ascii="宋体" w:hAnsi="宋体"/>
          <w:szCs w:val="21"/>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14:paraId="4F163562">
      <w:pPr>
        <w:tabs>
          <w:tab w:val="left" w:pos="312"/>
        </w:tabs>
        <w:spacing w:line="440" w:lineRule="exact"/>
        <w:ind w:firstLine="420" w:firstLineChars="200"/>
        <w:rPr>
          <w:rFonts w:ascii="黑体" w:hAnsi="黑体" w:eastAsia="黑体"/>
          <w:color w:val="000000" w:themeColor="text1"/>
          <w:szCs w:val="21"/>
        </w:rPr>
      </w:pPr>
      <w:r>
        <w:rPr>
          <w:rFonts w:hint="eastAsia" w:ascii="黑体" w:hAnsi="黑体" w:eastAsia="黑体"/>
          <w:color w:val="000000" w:themeColor="text1"/>
          <w:szCs w:val="21"/>
        </w:rPr>
        <w:t>（四）教学方法</w:t>
      </w:r>
    </w:p>
    <w:p w14:paraId="370B0C5B">
      <w:pPr>
        <w:pStyle w:val="35"/>
        <w:wordWrap w:val="0"/>
        <w:overflowPunct w:val="0"/>
        <w:spacing w:line="440" w:lineRule="exact"/>
        <w:ind w:firstLine="420"/>
        <w:rPr>
          <w:rFonts w:ascii="宋体" w:hAnsi="宋体" w:eastAsia="宋体"/>
          <w:color w:val="000000" w:themeColor="text1"/>
          <w:sz w:val="21"/>
          <w:szCs w:val="21"/>
        </w:rPr>
      </w:pPr>
      <w:r>
        <w:rPr>
          <w:rFonts w:hint="eastAsia" w:ascii="宋体" w:hAnsi="宋体" w:eastAsia="宋体"/>
          <w:color w:val="000000" w:themeColor="text1"/>
          <w:sz w:val="21"/>
          <w:szCs w:val="21"/>
        </w:rPr>
        <w:t>根据</w:t>
      </w:r>
      <w:r>
        <w:rPr>
          <w:rFonts w:hint="eastAsia" w:ascii="宋体" w:hAnsi="宋体" w:eastAsia="宋体"/>
          <w:color w:val="000000" w:themeColor="text1"/>
          <w:sz w:val="21"/>
          <w:szCs w:val="21"/>
          <w:lang w:eastAsia="zh-CN"/>
        </w:rPr>
        <w:t>金融服务与管理</w:t>
      </w:r>
      <w:r>
        <w:rPr>
          <w:rFonts w:hint="eastAsia" w:ascii="宋体" w:hAnsi="宋体" w:eastAsia="宋体"/>
          <w:color w:val="000000" w:themeColor="text1"/>
          <w:sz w:val="21"/>
          <w:szCs w:val="21"/>
        </w:rPr>
        <w:t>专业人才培养目标，结合保险行业</w:t>
      </w:r>
      <w:r>
        <w:rPr>
          <w:rFonts w:hint="eastAsia" w:ascii="宋体" w:hAnsi="宋体" w:eastAsia="宋体"/>
          <w:color w:val="000000" w:themeColor="text1"/>
          <w:sz w:val="21"/>
          <w:szCs w:val="21"/>
          <w:lang w:eastAsia="zh-CN"/>
        </w:rPr>
        <w:t>、证券行业、银行业、</w:t>
      </w:r>
      <w:r>
        <w:rPr>
          <w:rFonts w:hint="eastAsia" w:ascii="宋体" w:hAnsi="宋体" w:eastAsia="宋体"/>
          <w:color w:val="000000" w:themeColor="text1"/>
          <w:sz w:val="21"/>
          <w:szCs w:val="21"/>
        </w:rPr>
        <w:t>汽车金融行业及其他金融行业实际岗位需求，以就业为导向，以学生为中心，以职业能力提升为目标，注重理论与实践相结合，开展周考月赛，巩固学生学习效果。将思政融入课堂教学，广泛运用案例教学、情景教学、小组讨论、微视频、项目式实操训练、任务驱动、角色扮演、成果展示与汇报等多种教学方法，调动学生学习自主性，加大学生学习参与度，加强学生学习过程的指导，及时解决学生在学习过程中的困难和问题，并注重对学生学习态度、兴趣、习惯、品质、意志等方面的培养，使其职业技能达到从事相应职业岗位（岗位群）工作所需的要求和标准。</w:t>
      </w:r>
    </w:p>
    <w:p w14:paraId="1B709829">
      <w:pPr>
        <w:spacing w:line="360" w:lineRule="auto"/>
        <w:ind w:firstLine="420" w:firstLineChars="200"/>
        <w:rPr>
          <w:rFonts w:ascii="宋体" w:hAnsi="宋体"/>
          <w:szCs w:val="21"/>
        </w:rPr>
      </w:pPr>
      <w:r>
        <w:rPr>
          <w:rFonts w:hint="eastAsia" w:ascii="宋体" w:hAnsi="宋体"/>
          <w:szCs w:val="21"/>
        </w:rPr>
        <w:t>1.专业课主要教学方法</w:t>
      </w:r>
    </w:p>
    <w:p w14:paraId="162655ED">
      <w:pPr>
        <w:spacing w:line="360" w:lineRule="auto"/>
        <w:ind w:firstLine="420" w:firstLineChars="200"/>
        <w:rPr>
          <w:rFonts w:ascii="宋体" w:hAnsi="宋体"/>
          <w:szCs w:val="21"/>
        </w:rPr>
      </w:pPr>
      <w:r>
        <w:rPr>
          <w:rFonts w:hint="eastAsia" w:ascii="宋体" w:hAnsi="宋体"/>
          <w:szCs w:val="21"/>
        </w:rPr>
        <w:t>课程教学以真实职业实践环境、真实工作过程、企业案例作为支撑，实施任务驱动、教学做合一，加强学生能力培养。</w:t>
      </w:r>
    </w:p>
    <w:p w14:paraId="1F9977F3">
      <w:pPr>
        <w:spacing w:line="360" w:lineRule="auto"/>
        <w:ind w:firstLine="420" w:firstLineChars="200"/>
        <w:rPr>
          <w:rFonts w:ascii="宋体" w:hAnsi="宋体"/>
          <w:szCs w:val="21"/>
        </w:rPr>
      </w:pPr>
      <w:r>
        <w:rPr>
          <w:rFonts w:hint="eastAsia" w:ascii="宋体" w:hAnsi="宋体"/>
          <w:szCs w:val="21"/>
        </w:rPr>
        <w:t>2.顶岗实习指导方法</w:t>
      </w:r>
    </w:p>
    <w:p w14:paraId="67D472C0">
      <w:pPr>
        <w:spacing w:line="360" w:lineRule="auto"/>
        <w:ind w:firstLine="420" w:firstLineChars="200"/>
        <w:rPr>
          <w:rFonts w:ascii="宋体" w:hAnsi="宋体"/>
          <w:szCs w:val="21"/>
        </w:rPr>
      </w:pPr>
      <w:r>
        <w:rPr>
          <w:rFonts w:hint="eastAsia" w:ascii="宋体" w:hAnsi="宋体"/>
          <w:szCs w:val="21"/>
        </w:rPr>
        <w:t>顶岗实习由学校、企业(单位)、学生三方共同参与完成。学校负责学生顶岗实习的组织、实施和管理。</w:t>
      </w:r>
    </w:p>
    <w:p w14:paraId="1B0A2A5D">
      <w:pPr>
        <w:spacing w:line="360" w:lineRule="auto"/>
        <w:ind w:firstLine="420" w:firstLineChars="200"/>
        <w:rPr>
          <w:rFonts w:ascii="宋体" w:hAnsi="宋体"/>
          <w:szCs w:val="21"/>
        </w:rPr>
      </w:pPr>
      <w:r>
        <w:rPr>
          <w:rFonts w:hint="eastAsia" w:ascii="宋体" w:hAnsi="宋体"/>
          <w:szCs w:val="21"/>
        </w:rPr>
        <w:t>3.信息化教学手段运用</w:t>
      </w:r>
    </w:p>
    <w:p w14:paraId="048FFECB">
      <w:pPr>
        <w:spacing w:line="360" w:lineRule="auto"/>
        <w:ind w:firstLine="420" w:firstLineChars="200"/>
        <w:rPr>
          <w:rFonts w:ascii="宋体" w:hAnsi="宋体"/>
          <w:color w:val="000000" w:themeColor="text1"/>
          <w:szCs w:val="21"/>
        </w:rPr>
      </w:pPr>
      <w:r>
        <w:rPr>
          <w:rFonts w:hint="eastAsia" w:ascii="宋体" w:hAnsi="宋体"/>
          <w:szCs w:val="21"/>
        </w:rPr>
        <w:t>充分利用网络、多媒体、学习空间等信息化手段，改革教学方法，提高教学质量和效果。</w:t>
      </w:r>
    </w:p>
    <w:p w14:paraId="076CDFFB">
      <w:pPr>
        <w:tabs>
          <w:tab w:val="left" w:pos="312"/>
        </w:tabs>
        <w:spacing w:line="440" w:lineRule="exact"/>
        <w:ind w:firstLine="420" w:firstLineChars="200"/>
        <w:rPr>
          <w:rFonts w:ascii="黑体" w:hAnsi="黑体" w:eastAsia="黑体"/>
          <w:color w:val="000000" w:themeColor="text1"/>
          <w:szCs w:val="21"/>
        </w:rPr>
      </w:pPr>
      <w:r>
        <w:rPr>
          <w:rFonts w:hint="eastAsia" w:ascii="黑体" w:hAnsi="黑体" w:eastAsia="黑体"/>
          <w:color w:val="000000" w:themeColor="text1"/>
          <w:szCs w:val="21"/>
        </w:rPr>
        <w:t>（五）学习评价</w:t>
      </w:r>
    </w:p>
    <w:p w14:paraId="0B14BEB1">
      <w:pPr>
        <w:spacing w:line="440" w:lineRule="exact"/>
        <w:ind w:firstLine="420" w:firstLineChars="200"/>
        <w:rPr>
          <w:color w:val="000000" w:themeColor="text1"/>
        </w:rPr>
      </w:pPr>
      <w:r>
        <w:rPr>
          <w:rFonts w:hint="eastAsia"/>
          <w:color w:val="000000" w:themeColor="text1"/>
        </w:rPr>
        <w:t>1.评价主体</w:t>
      </w:r>
    </w:p>
    <w:p w14:paraId="0C82DC0C">
      <w:pPr>
        <w:spacing w:line="440" w:lineRule="exact"/>
        <w:ind w:firstLine="420" w:firstLineChars="200"/>
        <w:rPr>
          <w:color w:val="000000" w:themeColor="text1"/>
        </w:rPr>
      </w:pPr>
      <w:r>
        <w:rPr>
          <w:rFonts w:hint="eastAsia"/>
          <w:color w:val="000000" w:themeColor="text1"/>
        </w:rPr>
        <w:t>以教师评价为主，广泛吸收就业单位、合作企业、社区、家长参与学生质量评价，建立多方共同参与评价的开放式综合评价制度。</w:t>
      </w:r>
    </w:p>
    <w:p w14:paraId="374F0841">
      <w:pPr>
        <w:spacing w:line="440" w:lineRule="exact"/>
        <w:ind w:firstLine="420" w:firstLineChars="200"/>
        <w:rPr>
          <w:color w:val="000000" w:themeColor="text1"/>
        </w:rPr>
      </w:pPr>
      <w:r>
        <w:rPr>
          <w:rFonts w:hint="eastAsia"/>
          <w:color w:val="000000" w:themeColor="text1"/>
        </w:rPr>
        <w:t>2.评价内容</w:t>
      </w:r>
    </w:p>
    <w:p w14:paraId="56D8F186">
      <w:pPr>
        <w:spacing w:line="440" w:lineRule="exact"/>
        <w:ind w:firstLine="420" w:firstLineChars="200"/>
        <w:rPr>
          <w:color w:val="000000" w:themeColor="text1"/>
        </w:rPr>
      </w:pPr>
      <w:r>
        <w:rPr>
          <w:rFonts w:hint="eastAsia"/>
          <w:color w:val="000000" w:themeColor="text1"/>
        </w:rPr>
        <w:t>包括学生的素质、知识和能力。</w:t>
      </w:r>
    </w:p>
    <w:p w14:paraId="7E3E876B">
      <w:pPr>
        <w:spacing w:line="440" w:lineRule="exact"/>
        <w:ind w:firstLine="420" w:firstLineChars="200"/>
        <w:rPr>
          <w:color w:val="000000" w:themeColor="text1"/>
        </w:rPr>
      </w:pPr>
      <w:r>
        <w:rPr>
          <w:rFonts w:hint="eastAsia"/>
          <w:color w:val="000000" w:themeColor="text1"/>
        </w:rPr>
        <w:t>3.评价方法</w:t>
      </w:r>
    </w:p>
    <w:p w14:paraId="4A40875C">
      <w:pPr>
        <w:spacing w:line="440" w:lineRule="exact"/>
        <w:ind w:firstLine="420" w:firstLineChars="200"/>
        <w:rPr>
          <w:color w:val="000000" w:themeColor="text1"/>
        </w:rPr>
      </w:pPr>
      <w:r>
        <w:rPr>
          <w:rFonts w:hint="eastAsia"/>
          <w:color w:val="000000" w:themeColor="text1"/>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14:paraId="210CF516">
      <w:pPr>
        <w:tabs>
          <w:tab w:val="left" w:pos="312"/>
        </w:tabs>
        <w:spacing w:line="440" w:lineRule="exact"/>
        <w:ind w:firstLine="420" w:firstLineChars="200"/>
        <w:rPr>
          <w:rFonts w:ascii="黑体" w:hAnsi="黑体" w:eastAsia="黑体"/>
          <w:color w:val="000000" w:themeColor="text1"/>
          <w:szCs w:val="21"/>
        </w:rPr>
      </w:pPr>
      <w:r>
        <w:rPr>
          <w:rFonts w:hint="eastAsia" w:ascii="黑体" w:hAnsi="黑体" w:eastAsia="黑体"/>
          <w:color w:val="000000" w:themeColor="text1"/>
          <w:szCs w:val="21"/>
        </w:rPr>
        <w:t>（六）质量管理</w:t>
      </w:r>
    </w:p>
    <w:p w14:paraId="5A19E1CD">
      <w:pPr>
        <w:spacing w:line="440" w:lineRule="exact"/>
        <w:ind w:firstLine="420" w:firstLineChars="200"/>
        <w:rPr>
          <w:color w:val="000000" w:themeColor="text1"/>
        </w:rPr>
      </w:pPr>
      <w:r>
        <w:rPr>
          <w:rFonts w:hint="eastAsia"/>
          <w:color w:val="000000" w:themeColor="text1"/>
        </w:rPr>
        <w:t>1.对专业人才培养方案的制（修）订</w:t>
      </w:r>
    </w:p>
    <w:p w14:paraId="79C0EE09">
      <w:pPr>
        <w:spacing w:line="440" w:lineRule="exact"/>
        <w:ind w:firstLine="420" w:firstLineChars="200"/>
        <w:rPr>
          <w:color w:val="000000" w:themeColor="text1"/>
        </w:rPr>
      </w:pPr>
      <w:r>
        <w:rPr>
          <w:rFonts w:hint="eastAsia"/>
          <w:color w:val="000000" w:themeColor="text1"/>
        </w:rPr>
        <w:t>学院制定专业人才培养方案制（修）订意见，依据制（修）订意见与专业调研结果制（修）定各专业人才培养方案，经学院制（修）工作领导小组讨论定稿，提交学院党组织会议审定。</w:t>
      </w:r>
    </w:p>
    <w:p w14:paraId="46B997FF">
      <w:pPr>
        <w:spacing w:line="440" w:lineRule="exact"/>
        <w:ind w:firstLine="420" w:firstLineChars="200"/>
        <w:rPr>
          <w:color w:val="000000" w:themeColor="text1"/>
        </w:rPr>
      </w:pPr>
      <w:r>
        <w:rPr>
          <w:rFonts w:hint="eastAsia"/>
          <w:color w:val="000000" w:themeColor="text1"/>
        </w:rPr>
        <w:t>2.对各专业的教学质量的监控</w:t>
      </w:r>
    </w:p>
    <w:p w14:paraId="62948C3D">
      <w:pPr>
        <w:spacing w:line="440" w:lineRule="exact"/>
        <w:ind w:firstLine="420" w:firstLineChars="200"/>
        <w:rPr>
          <w:color w:val="000000" w:themeColor="text1"/>
        </w:rPr>
      </w:pPr>
      <w:r>
        <w:rPr>
          <w:rFonts w:hint="eastAsia"/>
          <w:color w:val="000000" w:themeColor="text1"/>
        </w:rPr>
        <w:t>学院和各系建立专业建设和教学质量诊断与改进机制，健全专业教学质量监控管理制度，制定专业建设标准，通过教学实施、过程监控、质量评价和持续改进，达成人才培养规格。</w:t>
      </w:r>
    </w:p>
    <w:p w14:paraId="6A3C9563">
      <w:pPr>
        <w:spacing w:line="440" w:lineRule="exact"/>
        <w:ind w:firstLine="420" w:firstLineChars="200"/>
        <w:rPr>
          <w:color w:val="000000" w:themeColor="text1"/>
        </w:rPr>
      </w:pPr>
      <w:r>
        <w:rPr>
          <w:rFonts w:hint="eastAsia"/>
          <w:color w:val="000000" w:themeColor="text1"/>
        </w:rPr>
        <w:t>学院和各教学部门建立完善的日常教学管理制度，加强日常教学组织运行与管理，定期开展教学质量诊断与改进工作，建立健全督导巡查、听课等制度，定期开展公开课，示范课等教研活动。</w:t>
      </w:r>
    </w:p>
    <w:p w14:paraId="32E1E36C">
      <w:pPr>
        <w:spacing w:line="440" w:lineRule="exact"/>
        <w:ind w:firstLine="420" w:firstLineChars="200"/>
        <w:rPr>
          <w:color w:val="000000" w:themeColor="text1"/>
        </w:rPr>
      </w:pPr>
      <w:r>
        <w:rPr>
          <w:rFonts w:hint="eastAsia"/>
          <w:color w:val="000000" w:themeColor="text1"/>
        </w:rPr>
        <w:t>3.对教师的教育教学管理</w:t>
      </w:r>
    </w:p>
    <w:p w14:paraId="7FD4344C">
      <w:pPr>
        <w:spacing w:line="440" w:lineRule="exact"/>
        <w:ind w:firstLine="420" w:firstLineChars="200"/>
        <w:rPr>
          <w:color w:val="000000" w:themeColor="text1"/>
        </w:rPr>
      </w:pPr>
      <w:r>
        <w:rPr>
          <w:rFonts w:hint="eastAsia"/>
          <w:color w:val="000000" w:themeColor="text1"/>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5A7A9373">
      <w:pPr>
        <w:spacing w:line="440" w:lineRule="exact"/>
        <w:ind w:firstLine="420" w:firstLineChars="200"/>
        <w:rPr>
          <w:color w:val="000000" w:themeColor="text1"/>
        </w:rPr>
      </w:pPr>
      <w:r>
        <w:rPr>
          <w:rFonts w:hint="eastAsia"/>
          <w:color w:val="000000" w:themeColor="text1"/>
        </w:rPr>
        <w:t>4.对毕业生的跟踪管理</w:t>
      </w:r>
    </w:p>
    <w:p w14:paraId="7786A9BB">
      <w:pPr>
        <w:spacing w:line="440" w:lineRule="exact"/>
        <w:ind w:firstLine="420" w:firstLineChars="200"/>
        <w:rPr>
          <w:color w:val="000000" w:themeColor="text1"/>
        </w:rPr>
      </w:pPr>
      <w:r>
        <w:rPr>
          <w:rFonts w:hint="eastAsia"/>
          <w:color w:val="000000" w:themeColor="text1"/>
        </w:rPr>
        <w:t>学院建立毕业生跟踪反馈机制及社会评价机制，并对生源情况、在校生学业水平、毕业生就业情况等进行分析，定期评价人才培养目标达成情况，持续提高人才培养质量。</w:t>
      </w:r>
    </w:p>
    <w:p w14:paraId="27809228">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（七）课程思政要求</w:t>
      </w:r>
    </w:p>
    <w:p w14:paraId="3EC7096C">
      <w:pPr>
        <w:spacing w:line="360" w:lineRule="auto"/>
        <w:ind w:firstLine="420" w:firstLineChars="200"/>
        <w:rPr>
          <w:color w:val="000000"/>
        </w:rPr>
      </w:pPr>
      <w:r>
        <w:rPr>
          <w:rFonts w:hint="eastAsia"/>
          <w:color w:val="000000"/>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14:paraId="69085138">
      <w:pPr>
        <w:spacing w:line="360" w:lineRule="auto"/>
        <w:ind w:firstLine="420" w:firstLineChars="200"/>
        <w:rPr>
          <w:color w:val="000000"/>
        </w:rPr>
      </w:pPr>
      <w:r>
        <w:rPr>
          <w:rFonts w:hint="eastAsia"/>
          <w:color w:val="000000"/>
        </w:rPr>
        <w:t>1.课程教学与爱国主义教育相结合</w:t>
      </w:r>
    </w:p>
    <w:p w14:paraId="56635B3C">
      <w:pPr>
        <w:spacing w:line="360" w:lineRule="auto"/>
        <w:ind w:firstLine="420" w:firstLineChars="200"/>
        <w:rPr>
          <w:color w:val="000000"/>
        </w:rPr>
      </w:pPr>
      <w:r>
        <w:rPr>
          <w:rFonts w:hint="eastAsia"/>
          <w:color w:val="000000"/>
        </w:rPr>
        <w:t>通过选择优秀典型的行业企业案例、视频题材等重要思政教育内容，激发爱国热情，培养家国情怀。在专业教师引导之下，通过我国改革开放40多年来的伟大成果展示，开展爱国主义教育、中国梦教育，增强学生的国家认同感与民族自豪感。</w:t>
      </w:r>
      <w:r>
        <w:rPr>
          <w:color w:val="000000"/>
        </w:rPr>
        <w:t> </w:t>
      </w:r>
    </w:p>
    <w:p w14:paraId="55AFC021">
      <w:pPr>
        <w:spacing w:line="360" w:lineRule="auto"/>
        <w:ind w:firstLine="420" w:firstLineChars="200"/>
        <w:rPr>
          <w:color w:val="000000"/>
        </w:rPr>
      </w:pPr>
      <w:r>
        <w:rPr>
          <w:rFonts w:hint="eastAsia"/>
          <w:color w:val="000000"/>
        </w:rPr>
        <w:t>2.课程教学与团队合作精神相结合</w:t>
      </w:r>
    </w:p>
    <w:p w14:paraId="6716D808">
      <w:pPr>
        <w:spacing w:line="360" w:lineRule="auto"/>
        <w:ind w:firstLine="420" w:firstLineChars="200"/>
        <w:rPr>
          <w:color w:val="000000"/>
        </w:rPr>
      </w:pPr>
      <w:r>
        <w:rPr>
          <w:rFonts w:hint="eastAsia"/>
          <w:color w:val="000000"/>
        </w:rPr>
        <w:t>专业课程教学过程中，以工作任务为导向设计教学内容，调动学习积极性，强调项目成员团队合作的原动力和凝聚力，树立了正确的集体观，培养团队合作精神。</w:t>
      </w:r>
    </w:p>
    <w:p w14:paraId="6AC74E05">
      <w:pPr>
        <w:spacing w:line="360" w:lineRule="auto"/>
        <w:ind w:firstLine="420" w:firstLineChars="200"/>
        <w:rPr>
          <w:color w:val="000000"/>
        </w:rPr>
      </w:pPr>
      <w:r>
        <w:rPr>
          <w:rFonts w:hint="eastAsia"/>
          <w:color w:val="000000"/>
        </w:rPr>
        <w:t>3.课程教学与职业素养培养相结合</w:t>
      </w:r>
    </w:p>
    <w:p w14:paraId="3830B281">
      <w:pPr>
        <w:spacing w:line="440" w:lineRule="exact"/>
        <w:ind w:firstLine="420" w:firstLineChars="200"/>
        <w:rPr>
          <w:color w:val="000000" w:themeColor="text1"/>
        </w:rPr>
      </w:pPr>
      <w:r>
        <w:rPr>
          <w:rFonts w:hint="eastAsia"/>
          <w:color w:val="000000"/>
        </w:rPr>
        <w:t>结合行业企业人才素养需求，在教学过程中引入企业对员工必备素质和基本规范的要求，引导学生自觉实践相关行业的职业精神和职业规范，增强职业责任感，培养学生良好的职业品德、职业纪律及职业责任心；教育学生爱岗敬业、细致严谨、精益求精，在潜移默化中提高了学生未来岗位的适应能力。</w:t>
      </w:r>
    </w:p>
    <w:p w14:paraId="6F58C117">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九、毕业要求</w:t>
      </w:r>
    </w:p>
    <w:p w14:paraId="6110EC05">
      <w:pPr>
        <w:spacing w:line="440" w:lineRule="exact"/>
        <w:ind w:firstLine="420" w:firstLineChars="200"/>
        <w:rPr>
          <w:color w:val="000000" w:themeColor="text1"/>
        </w:rPr>
      </w:pPr>
      <w:r>
        <w:rPr>
          <w:rFonts w:hint="eastAsia"/>
          <w:color w:val="000000" w:themeColor="text1"/>
        </w:rPr>
        <w:t>按照此培养方案，完成教学计划规定的课程内容学习，具体为：</w:t>
      </w:r>
    </w:p>
    <w:p w14:paraId="3AE8BF38">
      <w:pPr>
        <w:spacing w:line="440" w:lineRule="exact"/>
        <w:ind w:firstLine="420" w:firstLineChars="200"/>
        <w:rPr>
          <w:color w:val="000000" w:themeColor="text1"/>
        </w:rPr>
      </w:pPr>
      <w:r>
        <w:rPr>
          <w:rFonts w:hint="eastAsia"/>
          <w:color w:val="000000" w:themeColor="text1"/>
        </w:rPr>
        <w:t>（一）思想品德：考核合格，且通过学院规定的背唱国歌考试，会背诵国歌歌词，唱国歌；</w:t>
      </w:r>
    </w:p>
    <w:p w14:paraId="2091C97E">
      <w:pPr>
        <w:spacing w:line="440" w:lineRule="exact"/>
        <w:ind w:firstLine="420" w:firstLineChars="200"/>
        <w:rPr>
          <w:color w:val="000000" w:themeColor="text1"/>
        </w:rPr>
      </w:pPr>
      <w:r>
        <w:rPr>
          <w:rFonts w:hint="eastAsia"/>
          <w:color w:val="000000" w:themeColor="text1"/>
        </w:rPr>
        <w:t>（二）劳动教育：尊重、学会、热爱劳动，积极参加学院组织的有关劳动精神、劳模精神、工匠精神等劳动专题教育活动，完成义工活动两小时/周；加入志愿服务的学生，该项考核合格；</w:t>
      </w:r>
    </w:p>
    <w:p w14:paraId="78226121">
      <w:pPr>
        <w:spacing w:line="440" w:lineRule="exact"/>
        <w:ind w:firstLine="420" w:firstLineChars="200"/>
        <w:rPr>
          <w:color w:val="000000" w:themeColor="text1"/>
        </w:rPr>
      </w:pPr>
      <w:r>
        <w:rPr>
          <w:rFonts w:hint="eastAsia"/>
          <w:color w:val="000000" w:themeColor="text1"/>
        </w:rPr>
        <w:t>（三）身体素质：通过长跑测试，男生在规定时间完成5000米，女生在规定时间完成3000米；</w:t>
      </w:r>
    </w:p>
    <w:p w14:paraId="1272515C">
      <w:pPr>
        <w:spacing w:line="440" w:lineRule="exact"/>
        <w:ind w:firstLine="420" w:firstLineChars="200"/>
        <w:rPr>
          <w:color w:val="000000" w:themeColor="text1"/>
        </w:rPr>
      </w:pPr>
      <w:r>
        <w:rPr>
          <w:rFonts w:hint="eastAsia"/>
          <w:color w:val="000000" w:themeColor="text1"/>
        </w:rPr>
        <w:t>（四）课程成绩：修完学院教学计划规定的全部课程（含军训、实习等实践教学环节，不含公共选修课），考核合格；毕业设计符合学院及省教育厅抽查标准，经学院审核通过且答辩合格；</w:t>
      </w:r>
    </w:p>
    <w:p w14:paraId="67A9F717">
      <w:pPr>
        <w:spacing w:line="440" w:lineRule="exact"/>
        <w:ind w:firstLine="420" w:firstLineChars="200"/>
        <w:rPr>
          <w:color w:val="000000" w:themeColor="text1"/>
        </w:rPr>
      </w:pPr>
      <w:r>
        <w:rPr>
          <w:rFonts w:hint="eastAsia"/>
          <w:color w:val="000000" w:themeColor="text1"/>
        </w:rPr>
        <w:t>（五）生活技能：具备基本的生活技能，学会烹饪（两道中国菜），经学院考核合格。</w:t>
      </w:r>
    </w:p>
    <w:p w14:paraId="1702FE02">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十、编写说明及附件</w:t>
      </w:r>
    </w:p>
    <w:p w14:paraId="702D8A97">
      <w:pPr>
        <w:spacing w:line="440" w:lineRule="exact"/>
        <w:ind w:firstLine="420" w:firstLineChars="200"/>
        <w:rPr>
          <w:rFonts w:ascii="宋体" w:hAnsi="宋体"/>
          <w:color w:val="000000"/>
          <w:szCs w:val="21"/>
        </w:rPr>
      </w:pPr>
      <w:r>
        <w:rPr>
          <w:rFonts w:hint="eastAsia" w:ascii="宋体" w:hAnsi="宋体"/>
          <w:color w:val="000000"/>
          <w:szCs w:val="21"/>
        </w:rPr>
        <w:t>本方案是</w:t>
      </w:r>
      <w:r>
        <w:rPr>
          <w:rFonts w:hint="eastAsia" w:ascii="宋体" w:hAnsi="宋体"/>
          <w:color w:val="000000"/>
          <w:szCs w:val="21"/>
          <w:lang w:eastAsia="zh-CN"/>
        </w:rPr>
        <w:t>金融服务与管理</w:t>
      </w:r>
      <w:r>
        <w:rPr>
          <w:rFonts w:hint="eastAsia" w:ascii="宋体" w:hAnsi="宋体"/>
          <w:color w:val="000000"/>
          <w:szCs w:val="21"/>
        </w:rPr>
        <w:t>专业教学实施的依据。本方案是在教育部关于职业院校专业人才培养方案制定与实施工作的指导意见及学院发布的专业人才培养方案原则性意见的指导下修改定稿，由</w:t>
      </w:r>
      <w:r>
        <w:rPr>
          <w:rFonts w:hint="eastAsia" w:ascii="宋体" w:hAnsi="宋体"/>
          <w:color w:val="000000"/>
          <w:szCs w:val="21"/>
          <w:lang w:eastAsia="zh-CN"/>
        </w:rPr>
        <w:t>金融服务与管理</w:t>
      </w:r>
      <w:r>
        <w:rPr>
          <w:rFonts w:hint="eastAsia" w:ascii="宋体" w:hAnsi="宋体"/>
          <w:color w:val="000000"/>
          <w:szCs w:val="21"/>
        </w:rPr>
        <w:t>专业带头人执笔，结合企业调研实践及相关行业企业、相关从业人员信息反馈，并经过金融教研室专业教师多次讨论后定稿，最后由学院相关部门审定审核。</w:t>
      </w:r>
      <w:r>
        <w:rPr>
          <w:rFonts w:hint="eastAsia" w:ascii="宋体" w:hAnsi="宋体"/>
          <w:color w:val="000000"/>
          <w:szCs w:val="21"/>
          <w:lang w:eastAsia="zh-CN"/>
        </w:rPr>
        <w:t>金融服务与管理</w:t>
      </w:r>
      <w:r>
        <w:rPr>
          <w:rFonts w:hint="eastAsia" w:ascii="宋体" w:hAnsi="宋体"/>
          <w:color w:val="000000"/>
          <w:szCs w:val="21"/>
        </w:rPr>
        <w:t>专业所有课程的教学要严格根据本方案的规定实施。教研室必须组织本方案的学习，确保每一位任课教师明确具体的课程内容（项目）、能力要求。</w:t>
      </w:r>
    </w:p>
    <w:p w14:paraId="71F1198F">
      <w:pPr>
        <w:spacing w:line="440" w:lineRule="exact"/>
        <w:ind w:firstLine="420" w:firstLineChars="200"/>
        <w:rPr>
          <w:rFonts w:ascii="宋体" w:hAnsi="宋体"/>
          <w:bCs/>
          <w:szCs w:val="21"/>
        </w:rPr>
      </w:pPr>
      <w:r>
        <w:rPr>
          <w:rFonts w:hint="eastAsia" w:ascii="宋体" w:hAnsi="宋体"/>
          <w:bCs/>
          <w:szCs w:val="21"/>
        </w:rPr>
        <w:t xml:space="preserve">附件 </w:t>
      </w:r>
      <w:r>
        <w:rPr>
          <w:rFonts w:hint="eastAsia" w:ascii="宋体" w:hAnsi="宋体"/>
          <w:szCs w:val="21"/>
        </w:rPr>
        <w:t>全院公共任选课一览表</w:t>
      </w:r>
    </w:p>
    <w:p w14:paraId="3F4900AF">
      <w:pPr>
        <w:widowControl/>
        <w:jc w:val="left"/>
        <w:rPr>
          <w:rFonts w:ascii="宋体" w:hAnsi="宋体"/>
          <w:szCs w:val="21"/>
        </w:rPr>
      </w:pPr>
      <w:r>
        <w:rPr>
          <w:rFonts w:ascii="宋体" w:hAnsi="宋体"/>
          <w:szCs w:val="21"/>
        </w:rPr>
        <w:br w:type="page"/>
      </w:r>
    </w:p>
    <w:p w14:paraId="3CC16FE6">
      <w:pPr>
        <w:rPr>
          <w:rFonts w:ascii="宋体" w:hAnsi="宋体"/>
          <w:szCs w:val="21"/>
        </w:rPr>
      </w:pPr>
    </w:p>
    <w:tbl>
      <w:tblPr>
        <w:tblStyle w:val="13"/>
        <w:tblW w:w="8568" w:type="dxa"/>
        <w:jc w:val="center"/>
        <w:tblLayout w:type="fixed"/>
        <w:tblCellMar>
          <w:top w:w="15" w:type="dxa"/>
          <w:left w:w="15" w:type="dxa"/>
          <w:bottom w:w="15" w:type="dxa"/>
          <w:right w:w="15" w:type="dxa"/>
        </w:tblCellMar>
      </w:tblPr>
      <w:tblGrid>
        <w:gridCol w:w="2710"/>
        <w:gridCol w:w="851"/>
        <w:gridCol w:w="5007"/>
      </w:tblGrid>
      <w:tr w14:paraId="45730B2E">
        <w:tblPrEx>
          <w:tblCellMar>
            <w:top w:w="15" w:type="dxa"/>
            <w:left w:w="15" w:type="dxa"/>
            <w:bottom w:w="15" w:type="dxa"/>
            <w:right w:w="15" w:type="dxa"/>
          </w:tblCellMar>
        </w:tblPrEx>
        <w:trPr>
          <w:trHeight w:val="390" w:hRule="atLeast"/>
          <w:jc w:val="center"/>
        </w:trPr>
        <w:tc>
          <w:tcPr>
            <w:tcW w:w="8568" w:type="dxa"/>
            <w:gridSpan w:val="3"/>
            <w:tcBorders>
              <w:left w:val="nil"/>
              <w:bottom w:val="single" w:color="000000" w:sz="4" w:space="0"/>
            </w:tcBorders>
            <w:vAlign w:val="center"/>
          </w:tcPr>
          <w:p w14:paraId="0BC1440B">
            <w:pPr>
              <w:widowControl/>
              <w:jc w:val="center"/>
              <w:textAlignment w:val="center"/>
              <w:rPr>
                <w:rFonts w:ascii="宋体" w:hAnsi="宋体" w:cs="宋体"/>
                <w:b/>
                <w:bCs/>
                <w:color w:val="000000"/>
                <w:sz w:val="36"/>
                <w:szCs w:val="36"/>
              </w:rPr>
            </w:pPr>
            <w:r>
              <w:rPr>
                <w:rFonts w:hint="eastAsia" w:ascii="宋体" w:hAnsi="宋体"/>
                <w:szCs w:val="21"/>
              </w:rPr>
              <w:t>全院公共任选课一览表</w:t>
            </w:r>
          </w:p>
        </w:tc>
      </w:tr>
      <w:tr w14:paraId="35A4E395">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04318828">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385DDA09">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14174037">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证券投资理论与实务</w:t>
            </w:r>
          </w:p>
        </w:tc>
      </w:tr>
      <w:tr w14:paraId="6BA8627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0027258">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EF737E5">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3A4F47B5">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新能源汽车介绍</w:t>
            </w:r>
          </w:p>
        </w:tc>
      </w:tr>
      <w:tr w14:paraId="6B0E456C">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B0EF322">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447A0CB">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1E49DCFB">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国际商务礼仪</w:t>
            </w:r>
          </w:p>
        </w:tc>
      </w:tr>
      <w:tr w14:paraId="547F090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E68B9AB">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33E10DD">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1FAF0999">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商务PPT制作技巧</w:t>
            </w:r>
          </w:p>
        </w:tc>
      </w:tr>
      <w:tr w14:paraId="1BA010D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6D08DD7">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E28C3EB">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2C7298A9">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UG三维设计</w:t>
            </w:r>
          </w:p>
        </w:tc>
      </w:tr>
      <w:tr w14:paraId="1F25E22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2F74DF6">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351EB40">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59558BB4">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CAD制图</w:t>
            </w:r>
          </w:p>
        </w:tc>
      </w:tr>
      <w:tr w14:paraId="2B878B5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3D2B46B">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CFB331C">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36FA279E">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会计基础</w:t>
            </w:r>
          </w:p>
        </w:tc>
      </w:tr>
      <w:tr w14:paraId="1666F89B">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C847EC9">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03890165">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8</w:t>
            </w:r>
          </w:p>
        </w:tc>
        <w:tc>
          <w:tcPr>
            <w:tcW w:w="5007" w:type="dxa"/>
            <w:tcBorders>
              <w:top w:val="single" w:color="auto" w:sz="4" w:space="0"/>
              <w:left w:val="single" w:color="auto" w:sz="4" w:space="0"/>
              <w:bottom w:val="single" w:color="auto" w:sz="4" w:space="0"/>
              <w:right w:val="single" w:color="auto" w:sz="4" w:space="0"/>
            </w:tcBorders>
            <w:vAlign w:val="center"/>
          </w:tcPr>
          <w:p w14:paraId="047B6EE8">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创业创新指导</w:t>
            </w:r>
          </w:p>
        </w:tc>
      </w:tr>
      <w:tr w14:paraId="602D942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0B6CA624">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14E0D904">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9</w:t>
            </w:r>
          </w:p>
        </w:tc>
        <w:tc>
          <w:tcPr>
            <w:tcW w:w="5007" w:type="dxa"/>
            <w:tcBorders>
              <w:top w:val="single" w:color="auto" w:sz="4" w:space="0"/>
              <w:left w:val="single" w:color="auto" w:sz="4" w:space="0"/>
              <w:bottom w:val="single" w:color="auto" w:sz="4" w:space="0"/>
              <w:right w:val="single" w:color="auto" w:sz="4" w:space="0"/>
            </w:tcBorders>
            <w:vAlign w:val="center"/>
          </w:tcPr>
          <w:p w14:paraId="156DDC76">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汽车美容</w:t>
            </w:r>
          </w:p>
        </w:tc>
      </w:tr>
      <w:tr w14:paraId="4514E45A">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4F88FFEC">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0B1FA0F9">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10</w:t>
            </w:r>
          </w:p>
        </w:tc>
        <w:tc>
          <w:tcPr>
            <w:tcW w:w="5007" w:type="dxa"/>
            <w:tcBorders>
              <w:top w:val="single" w:color="auto" w:sz="4" w:space="0"/>
              <w:left w:val="single" w:color="000000" w:sz="4" w:space="0"/>
              <w:bottom w:val="single" w:color="000000" w:sz="4" w:space="0"/>
              <w:right w:val="single" w:color="000000" w:sz="4" w:space="0"/>
            </w:tcBorders>
            <w:vAlign w:val="center"/>
          </w:tcPr>
          <w:p w14:paraId="02CCD789">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汽车法律法规</w:t>
            </w:r>
          </w:p>
        </w:tc>
      </w:tr>
      <w:tr w14:paraId="7D7800BC">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D4F5D6C">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176B7C4">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340012A1">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汽车保险、估损</w:t>
            </w:r>
          </w:p>
        </w:tc>
      </w:tr>
      <w:tr w14:paraId="12D1F88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77B0A05">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0C574FE">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1B8AEEF8">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生产管理</w:t>
            </w:r>
          </w:p>
        </w:tc>
      </w:tr>
      <w:tr w14:paraId="630039E4">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116AB40">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09E79C6">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34A405F9">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汽车与交通安全</w:t>
            </w:r>
          </w:p>
        </w:tc>
      </w:tr>
      <w:tr w14:paraId="7BDEB29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330782C6">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3A7A111">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4A323DFD">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汽车配色设计基础</w:t>
            </w:r>
          </w:p>
        </w:tc>
      </w:tr>
      <w:tr w14:paraId="0D925620">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041DCC97">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67EDF5FB">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242ADCAE">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音乐欣赏</w:t>
            </w:r>
          </w:p>
        </w:tc>
      </w:tr>
      <w:tr w14:paraId="61ACFE9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C32F8D2">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98FBD5D">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570407AD">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外国文学名著选读</w:t>
            </w:r>
          </w:p>
        </w:tc>
      </w:tr>
      <w:tr w14:paraId="26B5F4E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3C4D193">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A35FB50">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0F2F8B99">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影视艺术鉴赏</w:t>
            </w:r>
          </w:p>
        </w:tc>
      </w:tr>
      <w:tr w14:paraId="26030B8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5C241CF">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CDF5B5A">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04A858CC">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NBA篮球大讲堂</w:t>
            </w:r>
          </w:p>
        </w:tc>
      </w:tr>
      <w:tr w14:paraId="06BA476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562CC6F">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18F9A2D">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604F8877">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文物鉴赏</w:t>
            </w:r>
          </w:p>
        </w:tc>
      </w:tr>
      <w:tr w14:paraId="690E9D4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0AC3BF8">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CCEF0D6">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7B4A8762">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硬笔书法</w:t>
            </w:r>
          </w:p>
        </w:tc>
      </w:tr>
      <w:tr w14:paraId="666D02B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8643079">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F451087">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2B34A946">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中外民族民俗</w:t>
            </w:r>
          </w:p>
        </w:tc>
      </w:tr>
      <w:tr w14:paraId="5B948BA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00CFEC5">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79E85FC">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3F40A43E">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摄影摄像</w:t>
            </w:r>
          </w:p>
        </w:tc>
      </w:tr>
      <w:tr w14:paraId="410DBEE8">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9B7B45B">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70832F2">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4ED7A83E">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国史概要</w:t>
            </w:r>
          </w:p>
        </w:tc>
      </w:tr>
      <w:tr w14:paraId="6F4BC1E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8EDCFEC">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172E9C7">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11E2081B">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湖湘文化十讲</w:t>
            </w:r>
          </w:p>
        </w:tc>
      </w:tr>
      <w:tr w14:paraId="63FAF60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C946154">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5F2DF27">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01706C78">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中国现代文学史</w:t>
            </w:r>
          </w:p>
        </w:tc>
      </w:tr>
      <w:tr w14:paraId="414E06C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F47EB53">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98D942A">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54DCE12C">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唐诗选读</w:t>
            </w:r>
          </w:p>
        </w:tc>
      </w:tr>
      <w:tr w14:paraId="234D5149">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524404A1">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2737813A">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36A81BCA">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普通话基础</w:t>
            </w:r>
          </w:p>
        </w:tc>
      </w:tr>
      <w:tr w14:paraId="59B7B4E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7DB9FFF">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842C9F0">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26123B81">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英语口语训练</w:t>
            </w:r>
          </w:p>
        </w:tc>
      </w:tr>
      <w:tr w14:paraId="2845108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2C5121E">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B202253">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58FAD39B">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基础俄语</w:t>
            </w:r>
          </w:p>
        </w:tc>
      </w:tr>
      <w:tr w14:paraId="156D150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4528E486">
            <w:pPr>
              <w:pStyle w:val="25"/>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CB3606B">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708537CC">
            <w:pPr>
              <w:pStyle w:val="25"/>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法语</w:t>
            </w:r>
          </w:p>
        </w:tc>
      </w:tr>
    </w:tbl>
    <w:p w14:paraId="297800D8">
      <w:pPr>
        <w:ind w:right="630" w:firstLine="420" w:firstLineChars="200"/>
        <w:rPr>
          <w:rFonts w:ascii="宋体" w:hAnsi="宋体"/>
          <w:color w:val="000000" w:themeColor="text1"/>
          <w:szCs w:val="21"/>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modern"/>
    <w:pitch w:val="default"/>
    <w:sig w:usb0="A00006FF" w:usb1="4000205B" w:usb2="0000001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Century Gothic">
    <w:panose1 w:val="020B0502020202020204"/>
    <w:charset w:val="00"/>
    <w:family w:val="modern"/>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0934328"/>
    </w:sdtPr>
    <w:sdtEndPr>
      <w:rPr>
        <w:sz w:val="21"/>
        <w:szCs w:val="21"/>
      </w:rPr>
    </w:sdtEndPr>
    <w:sdtContent>
      <w:p w14:paraId="11EDD635">
        <w:pPr>
          <w:pStyle w:val="9"/>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9EA16">
    <w:pPr>
      <w:pStyle w:val="10"/>
      <w:pBdr>
        <w:bottom w:val="single" w:color="auto" w:sz="6" w:space="2"/>
      </w:pBdr>
      <w:tabs>
        <w:tab w:val="left" w:pos="1116"/>
        <w:tab w:val="left" w:pos="7140"/>
        <w:tab w:val="clear" w:pos="8306"/>
      </w:tabs>
      <w:jc w:val="both"/>
    </w:pPr>
    <w:r>
      <w:drawing>
        <wp:anchor distT="0" distB="0" distL="114300" distR="114300" simplePos="0" relativeHeight="251659264" behindDoc="1" locked="0" layoutInCell="1" allowOverlap="1">
          <wp:simplePos x="0" y="0"/>
          <wp:positionH relativeFrom="column">
            <wp:posOffset>1905</wp:posOffset>
          </wp:positionH>
          <wp:positionV relativeFrom="paragraph">
            <wp:posOffset>-106045</wp:posOffset>
          </wp:positionV>
          <wp:extent cx="1958340" cy="313690"/>
          <wp:effectExtent l="0" t="0" r="3810" b="0"/>
          <wp:wrapTight wrapText="bothSides">
            <wp:wrapPolygon>
              <wp:start x="0" y="0"/>
              <wp:lineTo x="0" y="19676"/>
              <wp:lineTo x="21432" y="19676"/>
              <wp:lineTo x="2143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8340" cy="313837"/>
                  </a:xfrm>
                  <a:prstGeom prst="rect">
                    <a:avLst/>
                  </a:prstGeom>
                </pic:spPr>
              </pic:pic>
            </a:graphicData>
          </a:graphic>
        </wp:anchor>
      </w:drawing>
    </w:r>
    <w:r>
      <w:tab/>
    </w:r>
    <w:r>
      <w:tab/>
    </w:r>
  </w:p>
  <w:p w14:paraId="349434C6">
    <w:pPr>
      <w:pStyle w:val="10"/>
      <w:pBdr>
        <w:bottom w:val="none" w:color="auto" w:sz="0" w:space="0"/>
      </w:pBdr>
      <w:tabs>
        <w:tab w:val="left" w:pos="2760"/>
        <w:tab w:val="clear" w:pos="4153"/>
        <w:tab w:val="clear" w:pos="8306"/>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0E0E8F"/>
    <w:multiLevelType w:val="singleLevel"/>
    <w:tmpl w:val="380E0E8F"/>
    <w:lvl w:ilvl="0" w:tentative="0">
      <w:start w:val="2"/>
      <w:numFmt w:val="chineseCounting"/>
      <w:suff w:val="nothing"/>
      <w:lvlText w:val="（%1）"/>
      <w:lvlJc w:val="left"/>
      <w:rPr>
        <w:rFonts w:hint="eastAsia"/>
      </w:rPr>
    </w:lvl>
  </w:abstractNum>
  <w:abstractNum w:abstractNumId="1">
    <w:nsid w:val="6EA29CD7"/>
    <w:multiLevelType w:val="singleLevel"/>
    <w:tmpl w:val="6EA29CD7"/>
    <w:lvl w:ilvl="0" w:tentative="0">
      <w:start w:val="1"/>
      <w:numFmt w:val="decimal"/>
      <w:suff w:val="nothing"/>
      <w:lvlText w:val="%1、"/>
      <w:lvlJc w:val="left"/>
    </w:lvl>
  </w:abstractNum>
  <w:abstractNum w:abstractNumId="2">
    <w:nsid w:val="75DB281E"/>
    <w:multiLevelType w:val="singleLevel"/>
    <w:tmpl w:val="75DB281E"/>
    <w:lvl w:ilvl="0" w:tentative="0">
      <w:start w:val="1"/>
      <w:numFmt w:val="chineseCounting"/>
      <w:suff w:val="nothing"/>
      <w:lvlText w:val="（%1）"/>
      <w:lvlJc w:val="left"/>
      <w:rPr>
        <w:rFonts w:hint="eastAsia"/>
      </w:rPr>
    </w:lvl>
  </w:abstractNum>
  <w:abstractNum w:abstractNumId="3">
    <w:nsid w:val="7EFB33BA"/>
    <w:multiLevelType w:val="singleLevel"/>
    <w:tmpl w:val="7EFB33BA"/>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BhOTdhNDUwN2FhMGE0MmRkZDBmMTI0Y2JjNGQzNmQifQ=="/>
  </w:docVars>
  <w:rsids>
    <w:rsidRoot w:val="00172A27"/>
    <w:rsid w:val="00000B8B"/>
    <w:rsid w:val="00001CA9"/>
    <w:rsid w:val="00002F08"/>
    <w:rsid w:val="00004B0F"/>
    <w:rsid w:val="0000512B"/>
    <w:rsid w:val="000070B3"/>
    <w:rsid w:val="000119AE"/>
    <w:rsid w:val="0001315A"/>
    <w:rsid w:val="00014F47"/>
    <w:rsid w:val="00016964"/>
    <w:rsid w:val="000208B6"/>
    <w:rsid w:val="00022979"/>
    <w:rsid w:val="00023203"/>
    <w:rsid w:val="000259DB"/>
    <w:rsid w:val="00025B06"/>
    <w:rsid w:val="00027D72"/>
    <w:rsid w:val="000325D3"/>
    <w:rsid w:val="000329EF"/>
    <w:rsid w:val="00033DDC"/>
    <w:rsid w:val="000351E4"/>
    <w:rsid w:val="000360A9"/>
    <w:rsid w:val="00036B79"/>
    <w:rsid w:val="000415AB"/>
    <w:rsid w:val="00044165"/>
    <w:rsid w:val="0004480F"/>
    <w:rsid w:val="00047AD7"/>
    <w:rsid w:val="00047ED9"/>
    <w:rsid w:val="000503F4"/>
    <w:rsid w:val="000547C4"/>
    <w:rsid w:val="0006042A"/>
    <w:rsid w:val="00061041"/>
    <w:rsid w:val="00062AB9"/>
    <w:rsid w:val="000637D1"/>
    <w:rsid w:val="00063C74"/>
    <w:rsid w:val="0006474C"/>
    <w:rsid w:val="0006721D"/>
    <w:rsid w:val="00067A41"/>
    <w:rsid w:val="00071B43"/>
    <w:rsid w:val="00071FD1"/>
    <w:rsid w:val="0007240A"/>
    <w:rsid w:val="00072FF6"/>
    <w:rsid w:val="00073149"/>
    <w:rsid w:val="00073482"/>
    <w:rsid w:val="00074B77"/>
    <w:rsid w:val="00074B85"/>
    <w:rsid w:val="00074EA0"/>
    <w:rsid w:val="00076192"/>
    <w:rsid w:val="00076F0C"/>
    <w:rsid w:val="00077B8D"/>
    <w:rsid w:val="00077BBD"/>
    <w:rsid w:val="0008082F"/>
    <w:rsid w:val="00080850"/>
    <w:rsid w:val="00084D12"/>
    <w:rsid w:val="0008527E"/>
    <w:rsid w:val="00085AA2"/>
    <w:rsid w:val="00092853"/>
    <w:rsid w:val="00092CAD"/>
    <w:rsid w:val="000966F7"/>
    <w:rsid w:val="000979E6"/>
    <w:rsid w:val="00097AF6"/>
    <w:rsid w:val="000A090D"/>
    <w:rsid w:val="000A5153"/>
    <w:rsid w:val="000A5836"/>
    <w:rsid w:val="000A6B01"/>
    <w:rsid w:val="000A75B9"/>
    <w:rsid w:val="000A794C"/>
    <w:rsid w:val="000B16F6"/>
    <w:rsid w:val="000B532E"/>
    <w:rsid w:val="000B7B56"/>
    <w:rsid w:val="000C1852"/>
    <w:rsid w:val="000C18AD"/>
    <w:rsid w:val="000C19AF"/>
    <w:rsid w:val="000C21DB"/>
    <w:rsid w:val="000C2264"/>
    <w:rsid w:val="000C2743"/>
    <w:rsid w:val="000C3390"/>
    <w:rsid w:val="000C454F"/>
    <w:rsid w:val="000C5E6C"/>
    <w:rsid w:val="000C78C2"/>
    <w:rsid w:val="000D447E"/>
    <w:rsid w:val="000D7BC2"/>
    <w:rsid w:val="000E0A11"/>
    <w:rsid w:val="000E42A9"/>
    <w:rsid w:val="000E671F"/>
    <w:rsid w:val="000E7A4E"/>
    <w:rsid w:val="000F0288"/>
    <w:rsid w:val="000F0E7A"/>
    <w:rsid w:val="000F1AA3"/>
    <w:rsid w:val="000F1E7B"/>
    <w:rsid w:val="000F38F9"/>
    <w:rsid w:val="000F4EEF"/>
    <w:rsid w:val="000F68AF"/>
    <w:rsid w:val="000F720A"/>
    <w:rsid w:val="00104CD6"/>
    <w:rsid w:val="001052B4"/>
    <w:rsid w:val="00105D4A"/>
    <w:rsid w:val="00105E91"/>
    <w:rsid w:val="0010725E"/>
    <w:rsid w:val="001106B7"/>
    <w:rsid w:val="001106B8"/>
    <w:rsid w:val="00114A32"/>
    <w:rsid w:val="00115C7E"/>
    <w:rsid w:val="00120442"/>
    <w:rsid w:val="001213D6"/>
    <w:rsid w:val="00121EF5"/>
    <w:rsid w:val="00123256"/>
    <w:rsid w:val="00124EBE"/>
    <w:rsid w:val="001265BD"/>
    <w:rsid w:val="00127FB6"/>
    <w:rsid w:val="00130603"/>
    <w:rsid w:val="0013187A"/>
    <w:rsid w:val="00132CCE"/>
    <w:rsid w:val="001377C0"/>
    <w:rsid w:val="00140BDA"/>
    <w:rsid w:val="00141280"/>
    <w:rsid w:val="001427E7"/>
    <w:rsid w:val="00143471"/>
    <w:rsid w:val="00150320"/>
    <w:rsid w:val="001522CF"/>
    <w:rsid w:val="00152C88"/>
    <w:rsid w:val="00153799"/>
    <w:rsid w:val="00154DDF"/>
    <w:rsid w:val="001553F5"/>
    <w:rsid w:val="0015578C"/>
    <w:rsid w:val="001568B3"/>
    <w:rsid w:val="00160830"/>
    <w:rsid w:val="001619C8"/>
    <w:rsid w:val="0016319C"/>
    <w:rsid w:val="001637B6"/>
    <w:rsid w:val="00163F57"/>
    <w:rsid w:val="001649B1"/>
    <w:rsid w:val="001654C9"/>
    <w:rsid w:val="00171276"/>
    <w:rsid w:val="00171712"/>
    <w:rsid w:val="001724A0"/>
    <w:rsid w:val="0017286E"/>
    <w:rsid w:val="00172A27"/>
    <w:rsid w:val="00181595"/>
    <w:rsid w:val="001849A8"/>
    <w:rsid w:val="00185661"/>
    <w:rsid w:val="0019174B"/>
    <w:rsid w:val="00192006"/>
    <w:rsid w:val="00193601"/>
    <w:rsid w:val="0019766D"/>
    <w:rsid w:val="001A1976"/>
    <w:rsid w:val="001A3E7F"/>
    <w:rsid w:val="001B02E0"/>
    <w:rsid w:val="001B08B8"/>
    <w:rsid w:val="001B22A1"/>
    <w:rsid w:val="001B59A9"/>
    <w:rsid w:val="001B64A4"/>
    <w:rsid w:val="001B6566"/>
    <w:rsid w:val="001B7BE2"/>
    <w:rsid w:val="001C16C4"/>
    <w:rsid w:val="001C2557"/>
    <w:rsid w:val="001C4279"/>
    <w:rsid w:val="001C6E63"/>
    <w:rsid w:val="001C79B5"/>
    <w:rsid w:val="001D0268"/>
    <w:rsid w:val="001D1794"/>
    <w:rsid w:val="001D2014"/>
    <w:rsid w:val="001E1738"/>
    <w:rsid w:val="001E2E59"/>
    <w:rsid w:val="001E3EAF"/>
    <w:rsid w:val="001E6951"/>
    <w:rsid w:val="001E6B06"/>
    <w:rsid w:val="001E7125"/>
    <w:rsid w:val="001F03E4"/>
    <w:rsid w:val="001F0FCC"/>
    <w:rsid w:val="001F12FC"/>
    <w:rsid w:val="001F1A0E"/>
    <w:rsid w:val="001F6B09"/>
    <w:rsid w:val="001F6BAA"/>
    <w:rsid w:val="001F7025"/>
    <w:rsid w:val="00200447"/>
    <w:rsid w:val="00200F12"/>
    <w:rsid w:val="00202F01"/>
    <w:rsid w:val="00204F73"/>
    <w:rsid w:val="00206A23"/>
    <w:rsid w:val="002071CE"/>
    <w:rsid w:val="0020757C"/>
    <w:rsid w:val="00210B96"/>
    <w:rsid w:val="00214D38"/>
    <w:rsid w:val="0021732A"/>
    <w:rsid w:val="00221428"/>
    <w:rsid w:val="002214E3"/>
    <w:rsid w:val="0022459C"/>
    <w:rsid w:val="00224BDB"/>
    <w:rsid w:val="00224D74"/>
    <w:rsid w:val="00225BA9"/>
    <w:rsid w:val="0023047C"/>
    <w:rsid w:val="00230A91"/>
    <w:rsid w:val="002320D7"/>
    <w:rsid w:val="00236353"/>
    <w:rsid w:val="0024013D"/>
    <w:rsid w:val="00241833"/>
    <w:rsid w:val="00242150"/>
    <w:rsid w:val="00243291"/>
    <w:rsid w:val="00243B55"/>
    <w:rsid w:val="00243F49"/>
    <w:rsid w:val="002448B5"/>
    <w:rsid w:val="002467BE"/>
    <w:rsid w:val="00246BB1"/>
    <w:rsid w:val="00250829"/>
    <w:rsid w:val="00251193"/>
    <w:rsid w:val="0025230D"/>
    <w:rsid w:val="00252BC9"/>
    <w:rsid w:val="00260481"/>
    <w:rsid w:val="00260642"/>
    <w:rsid w:val="00262556"/>
    <w:rsid w:val="00266293"/>
    <w:rsid w:val="0026681E"/>
    <w:rsid w:val="00266EDD"/>
    <w:rsid w:val="002677C0"/>
    <w:rsid w:val="00271A02"/>
    <w:rsid w:val="0027304E"/>
    <w:rsid w:val="00273890"/>
    <w:rsid w:val="0027493E"/>
    <w:rsid w:val="002749E6"/>
    <w:rsid w:val="00277F41"/>
    <w:rsid w:val="002804FD"/>
    <w:rsid w:val="00281303"/>
    <w:rsid w:val="002828D5"/>
    <w:rsid w:val="00282954"/>
    <w:rsid w:val="002847F2"/>
    <w:rsid w:val="00285298"/>
    <w:rsid w:val="0029156A"/>
    <w:rsid w:val="002919C6"/>
    <w:rsid w:val="00292327"/>
    <w:rsid w:val="00293AA6"/>
    <w:rsid w:val="00295CF6"/>
    <w:rsid w:val="002964D8"/>
    <w:rsid w:val="0029672A"/>
    <w:rsid w:val="00296C39"/>
    <w:rsid w:val="002975EE"/>
    <w:rsid w:val="002A4855"/>
    <w:rsid w:val="002A4EAE"/>
    <w:rsid w:val="002A677A"/>
    <w:rsid w:val="002A7B1D"/>
    <w:rsid w:val="002B0762"/>
    <w:rsid w:val="002B2646"/>
    <w:rsid w:val="002B3877"/>
    <w:rsid w:val="002B3B53"/>
    <w:rsid w:val="002B7F23"/>
    <w:rsid w:val="002C03CB"/>
    <w:rsid w:val="002C052D"/>
    <w:rsid w:val="002C16C5"/>
    <w:rsid w:val="002C3555"/>
    <w:rsid w:val="002C38FE"/>
    <w:rsid w:val="002C4CFB"/>
    <w:rsid w:val="002C4E77"/>
    <w:rsid w:val="002C5975"/>
    <w:rsid w:val="002C7B7A"/>
    <w:rsid w:val="002C7CE8"/>
    <w:rsid w:val="002D52C7"/>
    <w:rsid w:val="002D5D66"/>
    <w:rsid w:val="002D5E14"/>
    <w:rsid w:val="002D7284"/>
    <w:rsid w:val="002E12E2"/>
    <w:rsid w:val="002E1999"/>
    <w:rsid w:val="002E2D2B"/>
    <w:rsid w:val="002E3B5A"/>
    <w:rsid w:val="002E3C98"/>
    <w:rsid w:val="002E5510"/>
    <w:rsid w:val="002E5AFB"/>
    <w:rsid w:val="002F00BB"/>
    <w:rsid w:val="002F30AA"/>
    <w:rsid w:val="002F42CD"/>
    <w:rsid w:val="002F4570"/>
    <w:rsid w:val="002F6062"/>
    <w:rsid w:val="002F61B0"/>
    <w:rsid w:val="002F6A95"/>
    <w:rsid w:val="003007E5"/>
    <w:rsid w:val="003013E9"/>
    <w:rsid w:val="00302065"/>
    <w:rsid w:val="003023CE"/>
    <w:rsid w:val="00303201"/>
    <w:rsid w:val="00303DA7"/>
    <w:rsid w:val="00305D4F"/>
    <w:rsid w:val="00306687"/>
    <w:rsid w:val="00315915"/>
    <w:rsid w:val="00316951"/>
    <w:rsid w:val="00317CB1"/>
    <w:rsid w:val="0032264F"/>
    <w:rsid w:val="00322FFA"/>
    <w:rsid w:val="003234A5"/>
    <w:rsid w:val="00323668"/>
    <w:rsid w:val="00324351"/>
    <w:rsid w:val="00324877"/>
    <w:rsid w:val="00325785"/>
    <w:rsid w:val="003263AB"/>
    <w:rsid w:val="00333733"/>
    <w:rsid w:val="00336CC3"/>
    <w:rsid w:val="00337E2F"/>
    <w:rsid w:val="00340161"/>
    <w:rsid w:val="00343492"/>
    <w:rsid w:val="00346A58"/>
    <w:rsid w:val="0034753B"/>
    <w:rsid w:val="00347F5F"/>
    <w:rsid w:val="003510B6"/>
    <w:rsid w:val="00351F96"/>
    <w:rsid w:val="00365D8C"/>
    <w:rsid w:val="00370F98"/>
    <w:rsid w:val="00371B79"/>
    <w:rsid w:val="00371ED1"/>
    <w:rsid w:val="003727F1"/>
    <w:rsid w:val="00372ACA"/>
    <w:rsid w:val="00373192"/>
    <w:rsid w:val="003731B0"/>
    <w:rsid w:val="003737FA"/>
    <w:rsid w:val="003742FF"/>
    <w:rsid w:val="00374BD8"/>
    <w:rsid w:val="00377A4A"/>
    <w:rsid w:val="00381888"/>
    <w:rsid w:val="0038207A"/>
    <w:rsid w:val="003825E9"/>
    <w:rsid w:val="003832D5"/>
    <w:rsid w:val="00383CF4"/>
    <w:rsid w:val="0038688F"/>
    <w:rsid w:val="0039141D"/>
    <w:rsid w:val="00392A3C"/>
    <w:rsid w:val="00392ABD"/>
    <w:rsid w:val="003937A8"/>
    <w:rsid w:val="00395FF6"/>
    <w:rsid w:val="0039649B"/>
    <w:rsid w:val="003A08C2"/>
    <w:rsid w:val="003A3AEE"/>
    <w:rsid w:val="003A444F"/>
    <w:rsid w:val="003A4DA6"/>
    <w:rsid w:val="003A5007"/>
    <w:rsid w:val="003B009E"/>
    <w:rsid w:val="003B034E"/>
    <w:rsid w:val="003B2D5E"/>
    <w:rsid w:val="003B30B0"/>
    <w:rsid w:val="003B3BBB"/>
    <w:rsid w:val="003B480F"/>
    <w:rsid w:val="003B5D57"/>
    <w:rsid w:val="003C097C"/>
    <w:rsid w:val="003C19F4"/>
    <w:rsid w:val="003C1C2A"/>
    <w:rsid w:val="003C722D"/>
    <w:rsid w:val="003D02DB"/>
    <w:rsid w:val="003D2A81"/>
    <w:rsid w:val="003D35C8"/>
    <w:rsid w:val="003D4107"/>
    <w:rsid w:val="003D4369"/>
    <w:rsid w:val="003D506E"/>
    <w:rsid w:val="003D7D4C"/>
    <w:rsid w:val="003D7F17"/>
    <w:rsid w:val="003E0823"/>
    <w:rsid w:val="003E2B81"/>
    <w:rsid w:val="003E5DB7"/>
    <w:rsid w:val="003E611D"/>
    <w:rsid w:val="003E76AC"/>
    <w:rsid w:val="003F0890"/>
    <w:rsid w:val="003F09ED"/>
    <w:rsid w:val="003F210A"/>
    <w:rsid w:val="003F39F3"/>
    <w:rsid w:val="003F44D5"/>
    <w:rsid w:val="003F4908"/>
    <w:rsid w:val="003F5C6F"/>
    <w:rsid w:val="003F7F8A"/>
    <w:rsid w:val="00401374"/>
    <w:rsid w:val="00404868"/>
    <w:rsid w:val="0040524B"/>
    <w:rsid w:val="00410368"/>
    <w:rsid w:val="00413C8F"/>
    <w:rsid w:val="00414FF3"/>
    <w:rsid w:val="00420E65"/>
    <w:rsid w:val="00421321"/>
    <w:rsid w:val="004219AC"/>
    <w:rsid w:val="00423148"/>
    <w:rsid w:val="00425242"/>
    <w:rsid w:val="004263D7"/>
    <w:rsid w:val="00430E23"/>
    <w:rsid w:val="00431AC3"/>
    <w:rsid w:val="004325EC"/>
    <w:rsid w:val="004330FE"/>
    <w:rsid w:val="00440864"/>
    <w:rsid w:val="004425E5"/>
    <w:rsid w:val="00442C7C"/>
    <w:rsid w:val="004433E6"/>
    <w:rsid w:val="004456AA"/>
    <w:rsid w:val="00445DE6"/>
    <w:rsid w:val="00450EB8"/>
    <w:rsid w:val="00452050"/>
    <w:rsid w:val="00452C57"/>
    <w:rsid w:val="00453100"/>
    <w:rsid w:val="00454088"/>
    <w:rsid w:val="00455E37"/>
    <w:rsid w:val="00457BCD"/>
    <w:rsid w:val="00457BD0"/>
    <w:rsid w:val="00460C94"/>
    <w:rsid w:val="00463200"/>
    <w:rsid w:val="0046427E"/>
    <w:rsid w:val="00464403"/>
    <w:rsid w:val="00464BA8"/>
    <w:rsid w:val="0046557D"/>
    <w:rsid w:val="00470DE1"/>
    <w:rsid w:val="00474D4D"/>
    <w:rsid w:val="004770E5"/>
    <w:rsid w:val="004811F3"/>
    <w:rsid w:val="0048373B"/>
    <w:rsid w:val="00483C85"/>
    <w:rsid w:val="00484330"/>
    <w:rsid w:val="00484647"/>
    <w:rsid w:val="004848D4"/>
    <w:rsid w:val="00484954"/>
    <w:rsid w:val="004849F2"/>
    <w:rsid w:val="00485CBF"/>
    <w:rsid w:val="00490C42"/>
    <w:rsid w:val="00491DB6"/>
    <w:rsid w:val="00495365"/>
    <w:rsid w:val="00495534"/>
    <w:rsid w:val="004962EC"/>
    <w:rsid w:val="004A1D8F"/>
    <w:rsid w:val="004A2FF7"/>
    <w:rsid w:val="004A3F86"/>
    <w:rsid w:val="004A4F24"/>
    <w:rsid w:val="004A7A22"/>
    <w:rsid w:val="004B3472"/>
    <w:rsid w:val="004B3764"/>
    <w:rsid w:val="004B63FD"/>
    <w:rsid w:val="004C2357"/>
    <w:rsid w:val="004C24D7"/>
    <w:rsid w:val="004C3E03"/>
    <w:rsid w:val="004C7750"/>
    <w:rsid w:val="004D04E9"/>
    <w:rsid w:val="004D0948"/>
    <w:rsid w:val="004D5186"/>
    <w:rsid w:val="004D5D22"/>
    <w:rsid w:val="004D6974"/>
    <w:rsid w:val="004D6FEF"/>
    <w:rsid w:val="004D7BE4"/>
    <w:rsid w:val="004E255E"/>
    <w:rsid w:val="004E3778"/>
    <w:rsid w:val="004E63FD"/>
    <w:rsid w:val="004E64CD"/>
    <w:rsid w:val="004E6ABC"/>
    <w:rsid w:val="004F1172"/>
    <w:rsid w:val="004F6E3A"/>
    <w:rsid w:val="004F7095"/>
    <w:rsid w:val="00500699"/>
    <w:rsid w:val="00500E78"/>
    <w:rsid w:val="00503337"/>
    <w:rsid w:val="00503BB0"/>
    <w:rsid w:val="00505FA1"/>
    <w:rsid w:val="005070BB"/>
    <w:rsid w:val="00510556"/>
    <w:rsid w:val="00511053"/>
    <w:rsid w:val="005133D5"/>
    <w:rsid w:val="00513758"/>
    <w:rsid w:val="0051377F"/>
    <w:rsid w:val="00515254"/>
    <w:rsid w:val="0051655E"/>
    <w:rsid w:val="00517958"/>
    <w:rsid w:val="00517E62"/>
    <w:rsid w:val="00521914"/>
    <w:rsid w:val="00521A61"/>
    <w:rsid w:val="00522701"/>
    <w:rsid w:val="00523FB5"/>
    <w:rsid w:val="00527739"/>
    <w:rsid w:val="0053001D"/>
    <w:rsid w:val="00531C85"/>
    <w:rsid w:val="0053228D"/>
    <w:rsid w:val="00533380"/>
    <w:rsid w:val="0053490F"/>
    <w:rsid w:val="00535866"/>
    <w:rsid w:val="00540D37"/>
    <w:rsid w:val="0054236F"/>
    <w:rsid w:val="00543DB1"/>
    <w:rsid w:val="005447CF"/>
    <w:rsid w:val="00544C9C"/>
    <w:rsid w:val="0054532C"/>
    <w:rsid w:val="005458E7"/>
    <w:rsid w:val="00546987"/>
    <w:rsid w:val="00547398"/>
    <w:rsid w:val="0055013A"/>
    <w:rsid w:val="005509E6"/>
    <w:rsid w:val="005514E0"/>
    <w:rsid w:val="005520D1"/>
    <w:rsid w:val="00552E6F"/>
    <w:rsid w:val="0055550C"/>
    <w:rsid w:val="005555C3"/>
    <w:rsid w:val="0055771E"/>
    <w:rsid w:val="005577E3"/>
    <w:rsid w:val="00560BD0"/>
    <w:rsid w:val="00566644"/>
    <w:rsid w:val="005671AD"/>
    <w:rsid w:val="005717DF"/>
    <w:rsid w:val="005775C6"/>
    <w:rsid w:val="00577803"/>
    <w:rsid w:val="0058141C"/>
    <w:rsid w:val="005863C4"/>
    <w:rsid w:val="0059021C"/>
    <w:rsid w:val="005903C0"/>
    <w:rsid w:val="005926F5"/>
    <w:rsid w:val="00592838"/>
    <w:rsid w:val="00592CE0"/>
    <w:rsid w:val="00593868"/>
    <w:rsid w:val="005A5157"/>
    <w:rsid w:val="005A6BAC"/>
    <w:rsid w:val="005B1F4F"/>
    <w:rsid w:val="005B3845"/>
    <w:rsid w:val="005B5BB6"/>
    <w:rsid w:val="005C2DBF"/>
    <w:rsid w:val="005C38AF"/>
    <w:rsid w:val="005C701D"/>
    <w:rsid w:val="005C7457"/>
    <w:rsid w:val="005C7991"/>
    <w:rsid w:val="005C7B81"/>
    <w:rsid w:val="005D187C"/>
    <w:rsid w:val="005D28D9"/>
    <w:rsid w:val="005D6AE8"/>
    <w:rsid w:val="005D6D7C"/>
    <w:rsid w:val="005E1F58"/>
    <w:rsid w:val="005E3120"/>
    <w:rsid w:val="005E51BB"/>
    <w:rsid w:val="005E5FB0"/>
    <w:rsid w:val="005E6737"/>
    <w:rsid w:val="005F0E7A"/>
    <w:rsid w:val="005F224D"/>
    <w:rsid w:val="005F5538"/>
    <w:rsid w:val="00600143"/>
    <w:rsid w:val="00605092"/>
    <w:rsid w:val="006065EB"/>
    <w:rsid w:val="00606FE8"/>
    <w:rsid w:val="006071DE"/>
    <w:rsid w:val="006076FB"/>
    <w:rsid w:val="006132FF"/>
    <w:rsid w:val="00617114"/>
    <w:rsid w:val="006173C4"/>
    <w:rsid w:val="00617CF1"/>
    <w:rsid w:val="00621A47"/>
    <w:rsid w:val="00622B79"/>
    <w:rsid w:val="00625033"/>
    <w:rsid w:val="006254C0"/>
    <w:rsid w:val="00625C45"/>
    <w:rsid w:val="00627EF2"/>
    <w:rsid w:val="00631639"/>
    <w:rsid w:val="006325F6"/>
    <w:rsid w:val="0063342F"/>
    <w:rsid w:val="00634373"/>
    <w:rsid w:val="00637747"/>
    <w:rsid w:val="00640C93"/>
    <w:rsid w:val="00641003"/>
    <w:rsid w:val="00641515"/>
    <w:rsid w:val="00641841"/>
    <w:rsid w:val="00641853"/>
    <w:rsid w:val="00641FC5"/>
    <w:rsid w:val="00643DD5"/>
    <w:rsid w:val="00645500"/>
    <w:rsid w:val="006459E2"/>
    <w:rsid w:val="006460F9"/>
    <w:rsid w:val="00647DEA"/>
    <w:rsid w:val="00650C6E"/>
    <w:rsid w:val="00654757"/>
    <w:rsid w:val="00656A06"/>
    <w:rsid w:val="00656F2F"/>
    <w:rsid w:val="00657D38"/>
    <w:rsid w:val="00660447"/>
    <w:rsid w:val="00661525"/>
    <w:rsid w:val="00661643"/>
    <w:rsid w:val="00663269"/>
    <w:rsid w:val="00664A97"/>
    <w:rsid w:val="0066625A"/>
    <w:rsid w:val="00670D83"/>
    <w:rsid w:val="0067191A"/>
    <w:rsid w:val="00673EA1"/>
    <w:rsid w:val="00674075"/>
    <w:rsid w:val="00676CE3"/>
    <w:rsid w:val="0068204A"/>
    <w:rsid w:val="006821F4"/>
    <w:rsid w:val="00682751"/>
    <w:rsid w:val="00684B5C"/>
    <w:rsid w:val="00685AD8"/>
    <w:rsid w:val="00686F9B"/>
    <w:rsid w:val="0068705A"/>
    <w:rsid w:val="006877F2"/>
    <w:rsid w:val="006904B8"/>
    <w:rsid w:val="00693482"/>
    <w:rsid w:val="006944CC"/>
    <w:rsid w:val="006948C2"/>
    <w:rsid w:val="006948EB"/>
    <w:rsid w:val="00694ADD"/>
    <w:rsid w:val="00696E6A"/>
    <w:rsid w:val="006A34D5"/>
    <w:rsid w:val="006A70D2"/>
    <w:rsid w:val="006A724F"/>
    <w:rsid w:val="006B11D8"/>
    <w:rsid w:val="006B58EF"/>
    <w:rsid w:val="006C45F0"/>
    <w:rsid w:val="006D01AB"/>
    <w:rsid w:val="006D16B5"/>
    <w:rsid w:val="006D1B6C"/>
    <w:rsid w:val="006D58D3"/>
    <w:rsid w:val="006D6037"/>
    <w:rsid w:val="006E4774"/>
    <w:rsid w:val="006E5888"/>
    <w:rsid w:val="006E6E1D"/>
    <w:rsid w:val="006E79C9"/>
    <w:rsid w:val="006E7B09"/>
    <w:rsid w:val="006F0901"/>
    <w:rsid w:val="006F1593"/>
    <w:rsid w:val="006F230E"/>
    <w:rsid w:val="006F26AE"/>
    <w:rsid w:val="006F4E86"/>
    <w:rsid w:val="006F4E90"/>
    <w:rsid w:val="006F50BC"/>
    <w:rsid w:val="006F547D"/>
    <w:rsid w:val="006F5D57"/>
    <w:rsid w:val="0070009F"/>
    <w:rsid w:val="00700C24"/>
    <w:rsid w:val="0070105D"/>
    <w:rsid w:val="007060D5"/>
    <w:rsid w:val="00706100"/>
    <w:rsid w:val="00707C96"/>
    <w:rsid w:val="00712DB7"/>
    <w:rsid w:val="00712DF5"/>
    <w:rsid w:val="00712FCF"/>
    <w:rsid w:val="0071361C"/>
    <w:rsid w:val="00713AB9"/>
    <w:rsid w:val="0071479C"/>
    <w:rsid w:val="00714D8D"/>
    <w:rsid w:val="007240B3"/>
    <w:rsid w:val="007242FB"/>
    <w:rsid w:val="00724545"/>
    <w:rsid w:val="007261D8"/>
    <w:rsid w:val="007262CC"/>
    <w:rsid w:val="007329E8"/>
    <w:rsid w:val="00734DFA"/>
    <w:rsid w:val="00735259"/>
    <w:rsid w:val="007355BF"/>
    <w:rsid w:val="00737945"/>
    <w:rsid w:val="00740BF2"/>
    <w:rsid w:val="00740CF8"/>
    <w:rsid w:val="0074185D"/>
    <w:rsid w:val="00742509"/>
    <w:rsid w:val="00742A58"/>
    <w:rsid w:val="007431D6"/>
    <w:rsid w:val="0074375F"/>
    <w:rsid w:val="00745B94"/>
    <w:rsid w:val="00747CAB"/>
    <w:rsid w:val="00750674"/>
    <w:rsid w:val="00750A4D"/>
    <w:rsid w:val="00752A97"/>
    <w:rsid w:val="00753CB1"/>
    <w:rsid w:val="00756EEE"/>
    <w:rsid w:val="00756EEF"/>
    <w:rsid w:val="00762464"/>
    <w:rsid w:val="00764758"/>
    <w:rsid w:val="0077058D"/>
    <w:rsid w:val="007806E3"/>
    <w:rsid w:val="00782D6B"/>
    <w:rsid w:val="00784726"/>
    <w:rsid w:val="007850D6"/>
    <w:rsid w:val="00785A65"/>
    <w:rsid w:val="0078665E"/>
    <w:rsid w:val="007913A3"/>
    <w:rsid w:val="00791E8A"/>
    <w:rsid w:val="00791F49"/>
    <w:rsid w:val="00791FE1"/>
    <w:rsid w:val="00792138"/>
    <w:rsid w:val="00794C5A"/>
    <w:rsid w:val="00795362"/>
    <w:rsid w:val="0079582F"/>
    <w:rsid w:val="00795FE9"/>
    <w:rsid w:val="007961DD"/>
    <w:rsid w:val="00797028"/>
    <w:rsid w:val="00797769"/>
    <w:rsid w:val="007A097E"/>
    <w:rsid w:val="007A12EE"/>
    <w:rsid w:val="007A3210"/>
    <w:rsid w:val="007A533A"/>
    <w:rsid w:val="007A669E"/>
    <w:rsid w:val="007B0812"/>
    <w:rsid w:val="007B34BF"/>
    <w:rsid w:val="007B3F93"/>
    <w:rsid w:val="007B5334"/>
    <w:rsid w:val="007B731D"/>
    <w:rsid w:val="007C0BD7"/>
    <w:rsid w:val="007C2AE3"/>
    <w:rsid w:val="007C45B4"/>
    <w:rsid w:val="007C4B7E"/>
    <w:rsid w:val="007C5933"/>
    <w:rsid w:val="007C7BFA"/>
    <w:rsid w:val="007D0826"/>
    <w:rsid w:val="007D1F30"/>
    <w:rsid w:val="007D3963"/>
    <w:rsid w:val="007D5371"/>
    <w:rsid w:val="007D5720"/>
    <w:rsid w:val="007D6F1D"/>
    <w:rsid w:val="007D7AA1"/>
    <w:rsid w:val="007D7B4C"/>
    <w:rsid w:val="007D7C21"/>
    <w:rsid w:val="007E0EB2"/>
    <w:rsid w:val="007E7587"/>
    <w:rsid w:val="007F124F"/>
    <w:rsid w:val="007F2F2E"/>
    <w:rsid w:val="007F501B"/>
    <w:rsid w:val="007F5370"/>
    <w:rsid w:val="007F5539"/>
    <w:rsid w:val="008031E9"/>
    <w:rsid w:val="00805A12"/>
    <w:rsid w:val="00806C7D"/>
    <w:rsid w:val="0081132E"/>
    <w:rsid w:val="00814493"/>
    <w:rsid w:val="00817403"/>
    <w:rsid w:val="008211DA"/>
    <w:rsid w:val="008231BF"/>
    <w:rsid w:val="0082572B"/>
    <w:rsid w:val="00826D6B"/>
    <w:rsid w:val="00827479"/>
    <w:rsid w:val="00830D5A"/>
    <w:rsid w:val="00832C53"/>
    <w:rsid w:val="00833028"/>
    <w:rsid w:val="0083422B"/>
    <w:rsid w:val="008356B7"/>
    <w:rsid w:val="00840376"/>
    <w:rsid w:val="008421FD"/>
    <w:rsid w:val="00842EF8"/>
    <w:rsid w:val="0084626C"/>
    <w:rsid w:val="00847424"/>
    <w:rsid w:val="00850727"/>
    <w:rsid w:val="0085174A"/>
    <w:rsid w:val="00852C3B"/>
    <w:rsid w:val="00854904"/>
    <w:rsid w:val="00854B21"/>
    <w:rsid w:val="008551D8"/>
    <w:rsid w:val="0085711E"/>
    <w:rsid w:val="0085797D"/>
    <w:rsid w:val="008655B9"/>
    <w:rsid w:val="00870212"/>
    <w:rsid w:val="00872765"/>
    <w:rsid w:val="00873045"/>
    <w:rsid w:val="00876A05"/>
    <w:rsid w:val="00876EFD"/>
    <w:rsid w:val="00881A50"/>
    <w:rsid w:val="00886ADA"/>
    <w:rsid w:val="00890F54"/>
    <w:rsid w:val="0089189A"/>
    <w:rsid w:val="008932E4"/>
    <w:rsid w:val="00894DAD"/>
    <w:rsid w:val="00897408"/>
    <w:rsid w:val="008A0AFD"/>
    <w:rsid w:val="008A3E24"/>
    <w:rsid w:val="008A6A2F"/>
    <w:rsid w:val="008B050D"/>
    <w:rsid w:val="008B42B8"/>
    <w:rsid w:val="008B50F7"/>
    <w:rsid w:val="008B5D72"/>
    <w:rsid w:val="008C0360"/>
    <w:rsid w:val="008C103F"/>
    <w:rsid w:val="008C51A9"/>
    <w:rsid w:val="008C6670"/>
    <w:rsid w:val="008D4FA2"/>
    <w:rsid w:val="008D56BE"/>
    <w:rsid w:val="008D5A0F"/>
    <w:rsid w:val="008D7477"/>
    <w:rsid w:val="008E25C0"/>
    <w:rsid w:val="008E3103"/>
    <w:rsid w:val="008E37CD"/>
    <w:rsid w:val="008E42C6"/>
    <w:rsid w:val="008E5F86"/>
    <w:rsid w:val="008E6234"/>
    <w:rsid w:val="008E7002"/>
    <w:rsid w:val="008E730F"/>
    <w:rsid w:val="008F1C8B"/>
    <w:rsid w:val="008F3213"/>
    <w:rsid w:val="008F323B"/>
    <w:rsid w:val="008F3B58"/>
    <w:rsid w:val="008F444A"/>
    <w:rsid w:val="008F4843"/>
    <w:rsid w:val="008F5063"/>
    <w:rsid w:val="008F5EA1"/>
    <w:rsid w:val="008F6803"/>
    <w:rsid w:val="009006ED"/>
    <w:rsid w:val="00901386"/>
    <w:rsid w:val="00901CCE"/>
    <w:rsid w:val="009036F8"/>
    <w:rsid w:val="00904219"/>
    <w:rsid w:val="0090425A"/>
    <w:rsid w:val="00905B01"/>
    <w:rsid w:val="00906F4A"/>
    <w:rsid w:val="009109F7"/>
    <w:rsid w:val="00914648"/>
    <w:rsid w:val="009153F8"/>
    <w:rsid w:val="00916374"/>
    <w:rsid w:val="00920584"/>
    <w:rsid w:val="0092107F"/>
    <w:rsid w:val="00921382"/>
    <w:rsid w:val="00921615"/>
    <w:rsid w:val="0092172E"/>
    <w:rsid w:val="009217DC"/>
    <w:rsid w:val="00922297"/>
    <w:rsid w:val="00926A7C"/>
    <w:rsid w:val="00927C2D"/>
    <w:rsid w:val="0093023C"/>
    <w:rsid w:val="00931476"/>
    <w:rsid w:val="0093183B"/>
    <w:rsid w:val="00935B46"/>
    <w:rsid w:val="00937D75"/>
    <w:rsid w:val="00940460"/>
    <w:rsid w:val="00941650"/>
    <w:rsid w:val="009447CA"/>
    <w:rsid w:val="009466B9"/>
    <w:rsid w:val="00946DD4"/>
    <w:rsid w:val="00954DAF"/>
    <w:rsid w:val="00956098"/>
    <w:rsid w:val="00957852"/>
    <w:rsid w:val="0096381D"/>
    <w:rsid w:val="009647F0"/>
    <w:rsid w:val="009655A4"/>
    <w:rsid w:val="00965C43"/>
    <w:rsid w:val="00966B4D"/>
    <w:rsid w:val="0096707B"/>
    <w:rsid w:val="00967AD6"/>
    <w:rsid w:val="00970791"/>
    <w:rsid w:val="009722A1"/>
    <w:rsid w:val="0097251B"/>
    <w:rsid w:val="0097562E"/>
    <w:rsid w:val="00975798"/>
    <w:rsid w:val="0097762A"/>
    <w:rsid w:val="00980AD3"/>
    <w:rsid w:val="00980E70"/>
    <w:rsid w:val="00983077"/>
    <w:rsid w:val="00983C11"/>
    <w:rsid w:val="00987869"/>
    <w:rsid w:val="00990E89"/>
    <w:rsid w:val="00990EC5"/>
    <w:rsid w:val="009913CA"/>
    <w:rsid w:val="009922B4"/>
    <w:rsid w:val="00993156"/>
    <w:rsid w:val="009959F6"/>
    <w:rsid w:val="009962D0"/>
    <w:rsid w:val="009A21CA"/>
    <w:rsid w:val="009A43C4"/>
    <w:rsid w:val="009A4BF0"/>
    <w:rsid w:val="009B0FCB"/>
    <w:rsid w:val="009B1249"/>
    <w:rsid w:val="009B577C"/>
    <w:rsid w:val="009B646C"/>
    <w:rsid w:val="009C19D8"/>
    <w:rsid w:val="009C27F4"/>
    <w:rsid w:val="009C4BC5"/>
    <w:rsid w:val="009C58B3"/>
    <w:rsid w:val="009C5D6C"/>
    <w:rsid w:val="009C5E5D"/>
    <w:rsid w:val="009C5E99"/>
    <w:rsid w:val="009C6FF8"/>
    <w:rsid w:val="009D031C"/>
    <w:rsid w:val="009D42B7"/>
    <w:rsid w:val="009D5090"/>
    <w:rsid w:val="009E1304"/>
    <w:rsid w:val="009E2AFE"/>
    <w:rsid w:val="009E3376"/>
    <w:rsid w:val="009E38CA"/>
    <w:rsid w:val="009E56DC"/>
    <w:rsid w:val="009E573A"/>
    <w:rsid w:val="009E57AB"/>
    <w:rsid w:val="009F1646"/>
    <w:rsid w:val="009F2093"/>
    <w:rsid w:val="009F462A"/>
    <w:rsid w:val="009F54CC"/>
    <w:rsid w:val="009F5D27"/>
    <w:rsid w:val="009F643F"/>
    <w:rsid w:val="00A00C51"/>
    <w:rsid w:val="00A01CA4"/>
    <w:rsid w:val="00A04EE9"/>
    <w:rsid w:val="00A05FEA"/>
    <w:rsid w:val="00A10938"/>
    <w:rsid w:val="00A13044"/>
    <w:rsid w:val="00A13F3A"/>
    <w:rsid w:val="00A14000"/>
    <w:rsid w:val="00A1515C"/>
    <w:rsid w:val="00A15EAE"/>
    <w:rsid w:val="00A20963"/>
    <w:rsid w:val="00A21358"/>
    <w:rsid w:val="00A24D97"/>
    <w:rsid w:val="00A2671A"/>
    <w:rsid w:val="00A27C7D"/>
    <w:rsid w:val="00A318B5"/>
    <w:rsid w:val="00A31E2D"/>
    <w:rsid w:val="00A3401B"/>
    <w:rsid w:val="00A35A88"/>
    <w:rsid w:val="00A3738B"/>
    <w:rsid w:val="00A408B6"/>
    <w:rsid w:val="00A41F94"/>
    <w:rsid w:val="00A427A1"/>
    <w:rsid w:val="00A45526"/>
    <w:rsid w:val="00A46943"/>
    <w:rsid w:val="00A51412"/>
    <w:rsid w:val="00A51B7B"/>
    <w:rsid w:val="00A52E30"/>
    <w:rsid w:val="00A555DB"/>
    <w:rsid w:val="00A56D0B"/>
    <w:rsid w:val="00A60F8C"/>
    <w:rsid w:val="00A612D7"/>
    <w:rsid w:val="00A61A28"/>
    <w:rsid w:val="00A63902"/>
    <w:rsid w:val="00A64432"/>
    <w:rsid w:val="00A67695"/>
    <w:rsid w:val="00A676CF"/>
    <w:rsid w:val="00A75B45"/>
    <w:rsid w:val="00A808CC"/>
    <w:rsid w:val="00A81C0E"/>
    <w:rsid w:val="00A82EED"/>
    <w:rsid w:val="00A83592"/>
    <w:rsid w:val="00A84287"/>
    <w:rsid w:val="00A90C19"/>
    <w:rsid w:val="00A915B9"/>
    <w:rsid w:val="00A9212D"/>
    <w:rsid w:val="00A9241B"/>
    <w:rsid w:val="00A92BEC"/>
    <w:rsid w:val="00A934D9"/>
    <w:rsid w:val="00A95D3F"/>
    <w:rsid w:val="00AA283F"/>
    <w:rsid w:val="00AA2EB7"/>
    <w:rsid w:val="00AB17A0"/>
    <w:rsid w:val="00AB2A37"/>
    <w:rsid w:val="00AB45EE"/>
    <w:rsid w:val="00AB763D"/>
    <w:rsid w:val="00AB7C14"/>
    <w:rsid w:val="00AC04E8"/>
    <w:rsid w:val="00AC53E4"/>
    <w:rsid w:val="00AC7A9B"/>
    <w:rsid w:val="00AD0CA5"/>
    <w:rsid w:val="00AD165E"/>
    <w:rsid w:val="00AD2188"/>
    <w:rsid w:val="00AD294B"/>
    <w:rsid w:val="00AD3A51"/>
    <w:rsid w:val="00AD4AC7"/>
    <w:rsid w:val="00AD4EC2"/>
    <w:rsid w:val="00AD5C6B"/>
    <w:rsid w:val="00AD5FC9"/>
    <w:rsid w:val="00AD71EE"/>
    <w:rsid w:val="00AE0DAC"/>
    <w:rsid w:val="00AE1854"/>
    <w:rsid w:val="00AE1D40"/>
    <w:rsid w:val="00AE2BE0"/>
    <w:rsid w:val="00AE2DC4"/>
    <w:rsid w:val="00AE4DC9"/>
    <w:rsid w:val="00AE6D2D"/>
    <w:rsid w:val="00AE79F9"/>
    <w:rsid w:val="00AF0631"/>
    <w:rsid w:val="00AF138A"/>
    <w:rsid w:val="00AF1D30"/>
    <w:rsid w:val="00AF34E5"/>
    <w:rsid w:val="00AF7404"/>
    <w:rsid w:val="00B01E30"/>
    <w:rsid w:val="00B02C80"/>
    <w:rsid w:val="00B04836"/>
    <w:rsid w:val="00B06422"/>
    <w:rsid w:val="00B06451"/>
    <w:rsid w:val="00B06601"/>
    <w:rsid w:val="00B06B5D"/>
    <w:rsid w:val="00B106E9"/>
    <w:rsid w:val="00B10D56"/>
    <w:rsid w:val="00B11223"/>
    <w:rsid w:val="00B11258"/>
    <w:rsid w:val="00B1282A"/>
    <w:rsid w:val="00B13D76"/>
    <w:rsid w:val="00B15403"/>
    <w:rsid w:val="00B1604D"/>
    <w:rsid w:val="00B20CB7"/>
    <w:rsid w:val="00B20F63"/>
    <w:rsid w:val="00B243FF"/>
    <w:rsid w:val="00B245F9"/>
    <w:rsid w:val="00B25823"/>
    <w:rsid w:val="00B262EF"/>
    <w:rsid w:val="00B34B6A"/>
    <w:rsid w:val="00B35A9F"/>
    <w:rsid w:val="00B370E0"/>
    <w:rsid w:val="00B37878"/>
    <w:rsid w:val="00B412A3"/>
    <w:rsid w:val="00B41648"/>
    <w:rsid w:val="00B425C6"/>
    <w:rsid w:val="00B43D9E"/>
    <w:rsid w:val="00B44CA4"/>
    <w:rsid w:val="00B53FAC"/>
    <w:rsid w:val="00B6063E"/>
    <w:rsid w:val="00B62170"/>
    <w:rsid w:val="00B62697"/>
    <w:rsid w:val="00B65D79"/>
    <w:rsid w:val="00B66FC5"/>
    <w:rsid w:val="00B6765F"/>
    <w:rsid w:val="00B67C93"/>
    <w:rsid w:val="00B708FA"/>
    <w:rsid w:val="00B71073"/>
    <w:rsid w:val="00B71F6A"/>
    <w:rsid w:val="00B7211B"/>
    <w:rsid w:val="00B72D2D"/>
    <w:rsid w:val="00B73F8B"/>
    <w:rsid w:val="00B75B92"/>
    <w:rsid w:val="00B761F0"/>
    <w:rsid w:val="00B807FD"/>
    <w:rsid w:val="00B81106"/>
    <w:rsid w:val="00B86EEC"/>
    <w:rsid w:val="00B873C7"/>
    <w:rsid w:val="00B934A4"/>
    <w:rsid w:val="00B93FEE"/>
    <w:rsid w:val="00B9642B"/>
    <w:rsid w:val="00B96907"/>
    <w:rsid w:val="00B96E7A"/>
    <w:rsid w:val="00BA0986"/>
    <w:rsid w:val="00BA1638"/>
    <w:rsid w:val="00BA2570"/>
    <w:rsid w:val="00BA286D"/>
    <w:rsid w:val="00BA311E"/>
    <w:rsid w:val="00BA4298"/>
    <w:rsid w:val="00BA457F"/>
    <w:rsid w:val="00BA4D41"/>
    <w:rsid w:val="00BA6411"/>
    <w:rsid w:val="00BA77DD"/>
    <w:rsid w:val="00BB0256"/>
    <w:rsid w:val="00BB1FA6"/>
    <w:rsid w:val="00BB4EEA"/>
    <w:rsid w:val="00BB59E2"/>
    <w:rsid w:val="00BB775A"/>
    <w:rsid w:val="00BC174B"/>
    <w:rsid w:val="00BC2731"/>
    <w:rsid w:val="00BC59D6"/>
    <w:rsid w:val="00BC6F46"/>
    <w:rsid w:val="00BC762B"/>
    <w:rsid w:val="00BD16E6"/>
    <w:rsid w:val="00BD2010"/>
    <w:rsid w:val="00BD4374"/>
    <w:rsid w:val="00BD4EAB"/>
    <w:rsid w:val="00BD54C5"/>
    <w:rsid w:val="00BD5AE8"/>
    <w:rsid w:val="00BD5F38"/>
    <w:rsid w:val="00BD7B2B"/>
    <w:rsid w:val="00BE02D6"/>
    <w:rsid w:val="00BE4B50"/>
    <w:rsid w:val="00BE4D33"/>
    <w:rsid w:val="00BE522F"/>
    <w:rsid w:val="00BE59B6"/>
    <w:rsid w:val="00BE7392"/>
    <w:rsid w:val="00BF1D4B"/>
    <w:rsid w:val="00BF21AB"/>
    <w:rsid w:val="00BF2887"/>
    <w:rsid w:val="00BF2CCA"/>
    <w:rsid w:val="00BF3DB4"/>
    <w:rsid w:val="00BF4CA0"/>
    <w:rsid w:val="00BF4D84"/>
    <w:rsid w:val="00BF5D1B"/>
    <w:rsid w:val="00BF5F82"/>
    <w:rsid w:val="00BF734B"/>
    <w:rsid w:val="00C0125E"/>
    <w:rsid w:val="00C023DF"/>
    <w:rsid w:val="00C06D50"/>
    <w:rsid w:val="00C1166C"/>
    <w:rsid w:val="00C17D6E"/>
    <w:rsid w:val="00C20313"/>
    <w:rsid w:val="00C21F49"/>
    <w:rsid w:val="00C23D4D"/>
    <w:rsid w:val="00C24E27"/>
    <w:rsid w:val="00C255CB"/>
    <w:rsid w:val="00C25CDA"/>
    <w:rsid w:val="00C25F4C"/>
    <w:rsid w:val="00C2605E"/>
    <w:rsid w:val="00C26F8F"/>
    <w:rsid w:val="00C3203B"/>
    <w:rsid w:val="00C33F68"/>
    <w:rsid w:val="00C34C31"/>
    <w:rsid w:val="00C34CE9"/>
    <w:rsid w:val="00C363D1"/>
    <w:rsid w:val="00C36A60"/>
    <w:rsid w:val="00C36D1A"/>
    <w:rsid w:val="00C4048E"/>
    <w:rsid w:val="00C42AF1"/>
    <w:rsid w:val="00C435DE"/>
    <w:rsid w:val="00C44DAA"/>
    <w:rsid w:val="00C50197"/>
    <w:rsid w:val="00C5505C"/>
    <w:rsid w:val="00C562D0"/>
    <w:rsid w:val="00C56934"/>
    <w:rsid w:val="00C57A8C"/>
    <w:rsid w:val="00C62D98"/>
    <w:rsid w:val="00C64C7D"/>
    <w:rsid w:val="00C65AED"/>
    <w:rsid w:val="00C66D93"/>
    <w:rsid w:val="00C7091C"/>
    <w:rsid w:val="00C71720"/>
    <w:rsid w:val="00C71BF7"/>
    <w:rsid w:val="00C74915"/>
    <w:rsid w:val="00C77B6C"/>
    <w:rsid w:val="00C814C2"/>
    <w:rsid w:val="00C81FB0"/>
    <w:rsid w:val="00C83270"/>
    <w:rsid w:val="00C8479F"/>
    <w:rsid w:val="00C85F2F"/>
    <w:rsid w:val="00C86583"/>
    <w:rsid w:val="00C929AB"/>
    <w:rsid w:val="00C92E8B"/>
    <w:rsid w:val="00C930C6"/>
    <w:rsid w:val="00C933A9"/>
    <w:rsid w:val="00C93F26"/>
    <w:rsid w:val="00C94297"/>
    <w:rsid w:val="00CA0477"/>
    <w:rsid w:val="00CA10C9"/>
    <w:rsid w:val="00CA42FD"/>
    <w:rsid w:val="00CA571F"/>
    <w:rsid w:val="00CB0A74"/>
    <w:rsid w:val="00CB29B2"/>
    <w:rsid w:val="00CB3153"/>
    <w:rsid w:val="00CB59B6"/>
    <w:rsid w:val="00CB5E33"/>
    <w:rsid w:val="00CB6FD5"/>
    <w:rsid w:val="00CB76D4"/>
    <w:rsid w:val="00CC06FD"/>
    <w:rsid w:val="00CC142B"/>
    <w:rsid w:val="00CC2578"/>
    <w:rsid w:val="00CC36E3"/>
    <w:rsid w:val="00CC3B86"/>
    <w:rsid w:val="00CC3DB1"/>
    <w:rsid w:val="00CC40D2"/>
    <w:rsid w:val="00CC5375"/>
    <w:rsid w:val="00CC6392"/>
    <w:rsid w:val="00CD1284"/>
    <w:rsid w:val="00CD1BB6"/>
    <w:rsid w:val="00CD2B40"/>
    <w:rsid w:val="00CD3F07"/>
    <w:rsid w:val="00CD7097"/>
    <w:rsid w:val="00CD7CBF"/>
    <w:rsid w:val="00CE07B1"/>
    <w:rsid w:val="00CE0A9E"/>
    <w:rsid w:val="00CE16B2"/>
    <w:rsid w:val="00CE1987"/>
    <w:rsid w:val="00CE49BF"/>
    <w:rsid w:val="00CF08A4"/>
    <w:rsid w:val="00CF0D6A"/>
    <w:rsid w:val="00CF1AA6"/>
    <w:rsid w:val="00CF30E6"/>
    <w:rsid w:val="00CF5470"/>
    <w:rsid w:val="00CF57B8"/>
    <w:rsid w:val="00CF5A52"/>
    <w:rsid w:val="00CF6760"/>
    <w:rsid w:val="00CF7895"/>
    <w:rsid w:val="00D002F8"/>
    <w:rsid w:val="00D01825"/>
    <w:rsid w:val="00D026F7"/>
    <w:rsid w:val="00D0319A"/>
    <w:rsid w:val="00D03782"/>
    <w:rsid w:val="00D03C41"/>
    <w:rsid w:val="00D04211"/>
    <w:rsid w:val="00D05358"/>
    <w:rsid w:val="00D05BF7"/>
    <w:rsid w:val="00D0620D"/>
    <w:rsid w:val="00D06B19"/>
    <w:rsid w:val="00D06DCF"/>
    <w:rsid w:val="00D111BB"/>
    <w:rsid w:val="00D124D7"/>
    <w:rsid w:val="00D13D4F"/>
    <w:rsid w:val="00D15CE1"/>
    <w:rsid w:val="00D167E0"/>
    <w:rsid w:val="00D1730F"/>
    <w:rsid w:val="00D17483"/>
    <w:rsid w:val="00D22113"/>
    <w:rsid w:val="00D2445E"/>
    <w:rsid w:val="00D2653C"/>
    <w:rsid w:val="00D277D3"/>
    <w:rsid w:val="00D30804"/>
    <w:rsid w:val="00D37F22"/>
    <w:rsid w:val="00D40440"/>
    <w:rsid w:val="00D43218"/>
    <w:rsid w:val="00D45C77"/>
    <w:rsid w:val="00D4651B"/>
    <w:rsid w:val="00D4682A"/>
    <w:rsid w:val="00D5138E"/>
    <w:rsid w:val="00D5189B"/>
    <w:rsid w:val="00D52BA7"/>
    <w:rsid w:val="00D55194"/>
    <w:rsid w:val="00D55469"/>
    <w:rsid w:val="00D56E93"/>
    <w:rsid w:val="00D6138C"/>
    <w:rsid w:val="00D66968"/>
    <w:rsid w:val="00D7000B"/>
    <w:rsid w:val="00D71128"/>
    <w:rsid w:val="00D717F8"/>
    <w:rsid w:val="00D72200"/>
    <w:rsid w:val="00D726EE"/>
    <w:rsid w:val="00D76701"/>
    <w:rsid w:val="00D76714"/>
    <w:rsid w:val="00D81DDB"/>
    <w:rsid w:val="00D81F2B"/>
    <w:rsid w:val="00D81FF7"/>
    <w:rsid w:val="00D82C14"/>
    <w:rsid w:val="00D82FE1"/>
    <w:rsid w:val="00D84DD0"/>
    <w:rsid w:val="00D867D2"/>
    <w:rsid w:val="00D873B5"/>
    <w:rsid w:val="00D91E06"/>
    <w:rsid w:val="00D93B45"/>
    <w:rsid w:val="00D93DBD"/>
    <w:rsid w:val="00D96919"/>
    <w:rsid w:val="00D96A97"/>
    <w:rsid w:val="00D96D4A"/>
    <w:rsid w:val="00D972CF"/>
    <w:rsid w:val="00DA2715"/>
    <w:rsid w:val="00DA4F5A"/>
    <w:rsid w:val="00DA5521"/>
    <w:rsid w:val="00DA6EC8"/>
    <w:rsid w:val="00DA7CEB"/>
    <w:rsid w:val="00DB0FCF"/>
    <w:rsid w:val="00DB1180"/>
    <w:rsid w:val="00DB2903"/>
    <w:rsid w:val="00DC1E21"/>
    <w:rsid w:val="00DC2727"/>
    <w:rsid w:val="00DC27CE"/>
    <w:rsid w:val="00DC2E63"/>
    <w:rsid w:val="00DC3324"/>
    <w:rsid w:val="00DC4C79"/>
    <w:rsid w:val="00DC7580"/>
    <w:rsid w:val="00DD1ECA"/>
    <w:rsid w:val="00DD1F68"/>
    <w:rsid w:val="00DD4C27"/>
    <w:rsid w:val="00DD553A"/>
    <w:rsid w:val="00DD69FB"/>
    <w:rsid w:val="00DD6BCD"/>
    <w:rsid w:val="00DE13FB"/>
    <w:rsid w:val="00DE22CB"/>
    <w:rsid w:val="00DE2914"/>
    <w:rsid w:val="00DE2B74"/>
    <w:rsid w:val="00DE36A5"/>
    <w:rsid w:val="00DE4BC5"/>
    <w:rsid w:val="00DE5C75"/>
    <w:rsid w:val="00DF08AB"/>
    <w:rsid w:val="00DF328D"/>
    <w:rsid w:val="00E02D79"/>
    <w:rsid w:val="00E04878"/>
    <w:rsid w:val="00E04EAE"/>
    <w:rsid w:val="00E055B7"/>
    <w:rsid w:val="00E1057C"/>
    <w:rsid w:val="00E11697"/>
    <w:rsid w:val="00E14B7E"/>
    <w:rsid w:val="00E174B9"/>
    <w:rsid w:val="00E2089F"/>
    <w:rsid w:val="00E20B59"/>
    <w:rsid w:val="00E21908"/>
    <w:rsid w:val="00E22F0E"/>
    <w:rsid w:val="00E24CED"/>
    <w:rsid w:val="00E25C72"/>
    <w:rsid w:val="00E319B3"/>
    <w:rsid w:val="00E32303"/>
    <w:rsid w:val="00E32E61"/>
    <w:rsid w:val="00E32FFE"/>
    <w:rsid w:val="00E33866"/>
    <w:rsid w:val="00E34059"/>
    <w:rsid w:val="00E36E82"/>
    <w:rsid w:val="00E373FD"/>
    <w:rsid w:val="00E37450"/>
    <w:rsid w:val="00E375C9"/>
    <w:rsid w:val="00E41806"/>
    <w:rsid w:val="00E41AB6"/>
    <w:rsid w:val="00E41F0F"/>
    <w:rsid w:val="00E424BA"/>
    <w:rsid w:val="00E44E2F"/>
    <w:rsid w:val="00E45CEA"/>
    <w:rsid w:val="00E47F4B"/>
    <w:rsid w:val="00E505AF"/>
    <w:rsid w:val="00E509BA"/>
    <w:rsid w:val="00E52C68"/>
    <w:rsid w:val="00E53785"/>
    <w:rsid w:val="00E55502"/>
    <w:rsid w:val="00E62203"/>
    <w:rsid w:val="00E62638"/>
    <w:rsid w:val="00E63A6B"/>
    <w:rsid w:val="00E63DDF"/>
    <w:rsid w:val="00E66118"/>
    <w:rsid w:val="00E670BA"/>
    <w:rsid w:val="00E67D8B"/>
    <w:rsid w:val="00E70042"/>
    <w:rsid w:val="00E7069E"/>
    <w:rsid w:val="00E7307A"/>
    <w:rsid w:val="00E760D1"/>
    <w:rsid w:val="00E82C7F"/>
    <w:rsid w:val="00E83265"/>
    <w:rsid w:val="00E83AAE"/>
    <w:rsid w:val="00E84C69"/>
    <w:rsid w:val="00E922DC"/>
    <w:rsid w:val="00E923D4"/>
    <w:rsid w:val="00E92953"/>
    <w:rsid w:val="00E931BB"/>
    <w:rsid w:val="00E9717A"/>
    <w:rsid w:val="00EA1230"/>
    <w:rsid w:val="00EA3E91"/>
    <w:rsid w:val="00EA4F7F"/>
    <w:rsid w:val="00EA65B6"/>
    <w:rsid w:val="00EA754A"/>
    <w:rsid w:val="00EB156E"/>
    <w:rsid w:val="00EB28D5"/>
    <w:rsid w:val="00EB2EBE"/>
    <w:rsid w:val="00EB4F10"/>
    <w:rsid w:val="00EC14A4"/>
    <w:rsid w:val="00EC1B06"/>
    <w:rsid w:val="00EC231D"/>
    <w:rsid w:val="00EC2DC2"/>
    <w:rsid w:val="00EC3AD0"/>
    <w:rsid w:val="00EC4314"/>
    <w:rsid w:val="00EC468B"/>
    <w:rsid w:val="00EC5AEB"/>
    <w:rsid w:val="00EC7C3F"/>
    <w:rsid w:val="00ED1C3E"/>
    <w:rsid w:val="00ED3B95"/>
    <w:rsid w:val="00ED3E37"/>
    <w:rsid w:val="00ED739C"/>
    <w:rsid w:val="00EE0FCB"/>
    <w:rsid w:val="00EE2961"/>
    <w:rsid w:val="00EE44FD"/>
    <w:rsid w:val="00EE56B5"/>
    <w:rsid w:val="00EE5A81"/>
    <w:rsid w:val="00EE6959"/>
    <w:rsid w:val="00EF00D8"/>
    <w:rsid w:val="00EF1965"/>
    <w:rsid w:val="00EF47CD"/>
    <w:rsid w:val="00EF4E00"/>
    <w:rsid w:val="00EF61E2"/>
    <w:rsid w:val="00EF6700"/>
    <w:rsid w:val="00EF7BE2"/>
    <w:rsid w:val="00F01539"/>
    <w:rsid w:val="00F034F7"/>
    <w:rsid w:val="00F04443"/>
    <w:rsid w:val="00F10CA4"/>
    <w:rsid w:val="00F1125F"/>
    <w:rsid w:val="00F12C77"/>
    <w:rsid w:val="00F1460C"/>
    <w:rsid w:val="00F1554B"/>
    <w:rsid w:val="00F1572F"/>
    <w:rsid w:val="00F16585"/>
    <w:rsid w:val="00F16D64"/>
    <w:rsid w:val="00F20565"/>
    <w:rsid w:val="00F20D85"/>
    <w:rsid w:val="00F216C9"/>
    <w:rsid w:val="00F224FC"/>
    <w:rsid w:val="00F23425"/>
    <w:rsid w:val="00F234DB"/>
    <w:rsid w:val="00F24BBC"/>
    <w:rsid w:val="00F2626B"/>
    <w:rsid w:val="00F30446"/>
    <w:rsid w:val="00F308B0"/>
    <w:rsid w:val="00F32092"/>
    <w:rsid w:val="00F36671"/>
    <w:rsid w:val="00F412A1"/>
    <w:rsid w:val="00F418BB"/>
    <w:rsid w:val="00F43E53"/>
    <w:rsid w:val="00F47CF4"/>
    <w:rsid w:val="00F509D5"/>
    <w:rsid w:val="00F50E44"/>
    <w:rsid w:val="00F51A8C"/>
    <w:rsid w:val="00F53634"/>
    <w:rsid w:val="00F5694F"/>
    <w:rsid w:val="00F574F2"/>
    <w:rsid w:val="00F60ABA"/>
    <w:rsid w:val="00F63982"/>
    <w:rsid w:val="00F648AD"/>
    <w:rsid w:val="00F6751F"/>
    <w:rsid w:val="00F77FAE"/>
    <w:rsid w:val="00F80536"/>
    <w:rsid w:val="00F81472"/>
    <w:rsid w:val="00F83990"/>
    <w:rsid w:val="00F8546C"/>
    <w:rsid w:val="00F87610"/>
    <w:rsid w:val="00F90BE2"/>
    <w:rsid w:val="00F919EC"/>
    <w:rsid w:val="00F93A59"/>
    <w:rsid w:val="00F945B6"/>
    <w:rsid w:val="00F94AEA"/>
    <w:rsid w:val="00F94FE9"/>
    <w:rsid w:val="00F958AB"/>
    <w:rsid w:val="00F95C0C"/>
    <w:rsid w:val="00FA2924"/>
    <w:rsid w:val="00FA3A9D"/>
    <w:rsid w:val="00FA3CC7"/>
    <w:rsid w:val="00FA545A"/>
    <w:rsid w:val="00FA675D"/>
    <w:rsid w:val="00FA6DC8"/>
    <w:rsid w:val="00FA7EA0"/>
    <w:rsid w:val="00FB3AFE"/>
    <w:rsid w:val="00FB42A2"/>
    <w:rsid w:val="00FC1F9E"/>
    <w:rsid w:val="00FC37C0"/>
    <w:rsid w:val="00FC3FAD"/>
    <w:rsid w:val="00FC5627"/>
    <w:rsid w:val="00FC7BDE"/>
    <w:rsid w:val="00FD0630"/>
    <w:rsid w:val="00FD0EAE"/>
    <w:rsid w:val="00FD11F5"/>
    <w:rsid w:val="00FD4293"/>
    <w:rsid w:val="00FD6EA3"/>
    <w:rsid w:val="00FD7013"/>
    <w:rsid w:val="00FD72FE"/>
    <w:rsid w:val="00FE3A8D"/>
    <w:rsid w:val="00FE3DDA"/>
    <w:rsid w:val="00FE78A4"/>
    <w:rsid w:val="00FF01DC"/>
    <w:rsid w:val="00FF1627"/>
    <w:rsid w:val="00FF2876"/>
    <w:rsid w:val="00FF2D4B"/>
    <w:rsid w:val="00FF4C5E"/>
    <w:rsid w:val="012D0080"/>
    <w:rsid w:val="01883023"/>
    <w:rsid w:val="018A1510"/>
    <w:rsid w:val="019936FD"/>
    <w:rsid w:val="01A53A1D"/>
    <w:rsid w:val="01B35A3E"/>
    <w:rsid w:val="01C20BC1"/>
    <w:rsid w:val="01D60B10"/>
    <w:rsid w:val="01EA4406"/>
    <w:rsid w:val="01F817DE"/>
    <w:rsid w:val="01F81C7B"/>
    <w:rsid w:val="02010A97"/>
    <w:rsid w:val="021417CA"/>
    <w:rsid w:val="026C25BB"/>
    <w:rsid w:val="02765283"/>
    <w:rsid w:val="028C3411"/>
    <w:rsid w:val="02CB1BEA"/>
    <w:rsid w:val="02CE7331"/>
    <w:rsid w:val="02D4051B"/>
    <w:rsid w:val="030F3FA6"/>
    <w:rsid w:val="03312EC3"/>
    <w:rsid w:val="03655D2B"/>
    <w:rsid w:val="037752C1"/>
    <w:rsid w:val="03921D75"/>
    <w:rsid w:val="039C326E"/>
    <w:rsid w:val="03AF368B"/>
    <w:rsid w:val="03C03EF1"/>
    <w:rsid w:val="03EE46C6"/>
    <w:rsid w:val="03FE22F0"/>
    <w:rsid w:val="04176204"/>
    <w:rsid w:val="04276AD8"/>
    <w:rsid w:val="04700E0C"/>
    <w:rsid w:val="04840A42"/>
    <w:rsid w:val="0486705C"/>
    <w:rsid w:val="049D401D"/>
    <w:rsid w:val="04A64FAF"/>
    <w:rsid w:val="04F81F1A"/>
    <w:rsid w:val="04FA4B16"/>
    <w:rsid w:val="05171224"/>
    <w:rsid w:val="052B0820"/>
    <w:rsid w:val="05331BD7"/>
    <w:rsid w:val="055A54B2"/>
    <w:rsid w:val="058678D4"/>
    <w:rsid w:val="05BB30EA"/>
    <w:rsid w:val="05D209F9"/>
    <w:rsid w:val="05D3189A"/>
    <w:rsid w:val="060535EA"/>
    <w:rsid w:val="061F28B8"/>
    <w:rsid w:val="065429C8"/>
    <w:rsid w:val="06920C2F"/>
    <w:rsid w:val="06F025F2"/>
    <w:rsid w:val="06FF0E1D"/>
    <w:rsid w:val="07023080"/>
    <w:rsid w:val="074C7584"/>
    <w:rsid w:val="076C6279"/>
    <w:rsid w:val="077A086C"/>
    <w:rsid w:val="07A11E97"/>
    <w:rsid w:val="07A85ACD"/>
    <w:rsid w:val="07AF5BAD"/>
    <w:rsid w:val="07B60498"/>
    <w:rsid w:val="07D653C6"/>
    <w:rsid w:val="07FD6DF7"/>
    <w:rsid w:val="08420AA0"/>
    <w:rsid w:val="08591B53"/>
    <w:rsid w:val="08974643"/>
    <w:rsid w:val="08F16013"/>
    <w:rsid w:val="090370F8"/>
    <w:rsid w:val="09097BCF"/>
    <w:rsid w:val="091C13C7"/>
    <w:rsid w:val="093D51D0"/>
    <w:rsid w:val="09522B03"/>
    <w:rsid w:val="09526CCE"/>
    <w:rsid w:val="09675875"/>
    <w:rsid w:val="09903427"/>
    <w:rsid w:val="09A45C28"/>
    <w:rsid w:val="09B42A36"/>
    <w:rsid w:val="09F85258"/>
    <w:rsid w:val="09FB391F"/>
    <w:rsid w:val="0A081991"/>
    <w:rsid w:val="0A37586E"/>
    <w:rsid w:val="0A3853EC"/>
    <w:rsid w:val="0A3A215D"/>
    <w:rsid w:val="0A4B0726"/>
    <w:rsid w:val="0A4F76B2"/>
    <w:rsid w:val="0A516850"/>
    <w:rsid w:val="0A643815"/>
    <w:rsid w:val="0A787112"/>
    <w:rsid w:val="0A93759F"/>
    <w:rsid w:val="0AC51FEF"/>
    <w:rsid w:val="0AC83D6C"/>
    <w:rsid w:val="0AF4220C"/>
    <w:rsid w:val="0B184EC2"/>
    <w:rsid w:val="0B2529B6"/>
    <w:rsid w:val="0B281DFF"/>
    <w:rsid w:val="0B6F53F3"/>
    <w:rsid w:val="0B851058"/>
    <w:rsid w:val="0BA33FAC"/>
    <w:rsid w:val="0C035CB5"/>
    <w:rsid w:val="0C51740B"/>
    <w:rsid w:val="0C5511F2"/>
    <w:rsid w:val="0C7553B8"/>
    <w:rsid w:val="0C8714C0"/>
    <w:rsid w:val="0CD93263"/>
    <w:rsid w:val="0CDC1946"/>
    <w:rsid w:val="0CE10BFA"/>
    <w:rsid w:val="0CF41946"/>
    <w:rsid w:val="0D1D2E79"/>
    <w:rsid w:val="0D4728C2"/>
    <w:rsid w:val="0D4B4F9C"/>
    <w:rsid w:val="0D6C4525"/>
    <w:rsid w:val="0DC62ADB"/>
    <w:rsid w:val="0DC74EDA"/>
    <w:rsid w:val="0DEA5CDF"/>
    <w:rsid w:val="0DEB68AB"/>
    <w:rsid w:val="0DED3D66"/>
    <w:rsid w:val="0E41781D"/>
    <w:rsid w:val="0E526D96"/>
    <w:rsid w:val="0E714F16"/>
    <w:rsid w:val="0E887048"/>
    <w:rsid w:val="0E9118F2"/>
    <w:rsid w:val="0EAF4BC3"/>
    <w:rsid w:val="0EC341CA"/>
    <w:rsid w:val="0ED35082"/>
    <w:rsid w:val="0EE81FFB"/>
    <w:rsid w:val="0EFC0F0E"/>
    <w:rsid w:val="0F1A1A23"/>
    <w:rsid w:val="0F2951F2"/>
    <w:rsid w:val="0F3027A5"/>
    <w:rsid w:val="0F69727E"/>
    <w:rsid w:val="0F6C2B82"/>
    <w:rsid w:val="0F8044A9"/>
    <w:rsid w:val="0F8B00F1"/>
    <w:rsid w:val="0FAC4549"/>
    <w:rsid w:val="0FB42A6C"/>
    <w:rsid w:val="0FC00F59"/>
    <w:rsid w:val="0FC16BC3"/>
    <w:rsid w:val="0FC6048C"/>
    <w:rsid w:val="0FD25D1A"/>
    <w:rsid w:val="0FDF6874"/>
    <w:rsid w:val="10001F89"/>
    <w:rsid w:val="104B05DD"/>
    <w:rsid w:val="106F36B4"/>
    <w:rsid w:val="10793DDD"/>
    <w:rsid w:val="10B33D9F"/>
    <w:rsid w:val="10CD7582"/>
    <w:rsid w:val="10D95853"/>
    <w:rsid w:val="10E01064"/>
    <w:rsid w:val="110168C7"/>
    <w:rsid w:val="110471C9"/>
    <w:rsid w:val="113519E4"/>
    <w:rsid w:val="116F3794"/>
    <w:rsid w:val="11712153"/>
    <w:rsid w:val="119C4767"/>
    <w:rsid w:val="11A227BD"/>
    <w:rsid w:val="11BE4869"/>
    <w:rsid w:val="11D01DAD"/>
    <w:rsid w:val="12252C8F"/>
    <w:rsid w:val="124F12EC"/>
    <w:rsid w:val="12575156"/>
    <w:rsid w:val="125A091A"/>
    <w:rsid w:val="125B55E9"/>
    <w:rsid w:val="128A4ADC"/>
    <w:rsid w:val="12B000FD"/>
    <w:rsid w:val="12C47AAD"/>
    <w:rsid w:val="12E070F9"/>
    <w:rsid w:val="13573096"/>
    <w:rsid w:val="13840DEF"/>
    <w:rsid w:val="13C14C54"/>
    <w:rsid w:val="13E736D9"/>
    <w:rsid w:val="13EB3AAC"/>
    <w:rsid w:val="14094A16"/>
    <w:rsid w:val="141D190C"/>
    <w:rsid w:val="143B5196"/>
    <w:rsid w:val="146B35DE"/>
    <w:rsid w:val="14732223"/>
    <w:rsid w:val="15035802"/>
    <w:rsid w:val="1505657D"/>
    <w:rsid w:val="150D7213"/>
    <w:rsid w:val="150F2A1B"/>
    <w:rsid w:val="1513587F"/>
    <w:rsid w:val="15276A75"/>
    <w:rsid w:val="15285268"/>
    <w:rsid w:val="153C2EDB"/>
    <w:rsid w:val="15517A13"/>
    <w:rsid w:val="15596AF9"/>
    <w:rsid w:val="156A6584"/>
    <w:rsid w:val="156E75C5"/>
    <w:rsid w:val="15784D8B"/>
    <w:rsid w:val="157E2F37"/>
    <w:rsid w:val="158332BB"/>
    <w:rsid w:val="158E4178"/>
    <w:rsid w:val="15967E75"/>
    <w:rsid w:val="15A85EC8"/>
    <w:rsid w:val="15BC7F4B"/>
    <w:rsid w:val="16152CC0"/>
    <w:rsid w:val="162260D4"/>
    <w:rsid w:val="165323CE"/>
    <w:rsid w:val="16667F8F"/>
    <w:rsid w:val="16690025"/>
    <w:rsid w:val="166B6616"/>
    <w:rsid w:val="168672FE"/>
    <w:rsid w:val="168B77E3"/>
    <w:rsid w:val="169C77DB"/>
    <w:rsid w:val="16A84DA0"/>
    <w:rsid w:val="16AC3AA3"/>
    <w:rsid w:val="16AD39A9"/>
    <w:rsid w:val="16C26943"/>
    <w:rsid w:val="16ED0036"/>
    <w:rsid w:val="171373E6"/>
    <w:rsid w:val="1723614E"/>
    <w:rsid w:val="17377EBE"/>
    <w:rsid w:val="174E4AB6"/>
    <w:rsid w:val="17570B84"/>
    <w:rsid w:val="17694D6F"/>
    <w:rsid w:val="17761E72"/>
    <w:rsid w:val="177E15D6"/>
    <w:rsid w:val="17B229BE"/>
    <w:rsid w:val="17CB2F4C"/>
    <w:rsid w:val="17D168D2"/>
    <w:rsid w:val="17D472EB"/>
    <w:rsid w:val="17D535B9"/>
    <w:rsid w:val="17DD55D3"/>
    <w:rsid w:val="17F453F5"/>
    <w:rsid w:val="18166BFE"/>
    <w:rsid w:val="182E31F5"/>
    <w:rsid w:val="18453ED9"/>
    <w:rsid w:val="18822AA9"/>
    <w:rsid w:val="188B3C7A"/>
    <w:rsid w:val="18A45BF7"/>
    <w:rsid w:val="18AF5312"/>
    <w:rsid w:val="18BD179A"/>
    <w:rsid w:val="18C51709"/>
    <w:rsid w:val="18E305ED"/>
    <w:rsid w:val="18FF5523"/>
    <w:rsid w:val="18FF5FC2"/>
    <w:rsid w:val="190D3C91"/>
    <w:rsid w:val="192730EA"/>
    <w:rsid w:val="193F0476"/>
    <w:rsid w:val="19817F4F"/>
    <w:rsid w:val="19896142"/>
    <w:rsid w:val="19AD5E3E"/>
    <w:rsid w:val="19B50B00"/>
    <w:rsid w:val="19EE1D8B"/>
    <w:rsid w:val="19F912D1"/>
    <w:rsid w:val="1A0758B3"/>
    <w:rsid w:val="1A2B6942"/>
    <w:rsid w:val="1A302689"/>
    <w:rsid w:val="1A442663"/>
    <w:rsid w:val="1A442DB7"/>
    <w:rsid w:val="1A506229"/>
    <w:rsid w:val="1A5C6335"/>
    <w:rsid w:val="1A6449AE"/>
    <w:rsid w:val="1A7B0753"/>
    <w:rsid w:val="1A86681A"/>
    <w:rsid w:val="1AA51CC7"/>
    <w:rsid w:val="1AA8082A"/>
    <w:rsid w:val="1AAE5812"/>
    <w:rsid w:val="1AD31217"/>
    <w:rsid w:val="1B071724"/>
    <w:rsid w:val="1B0F7B9A"/>
    <w:rsid w:val="1B210BF7"/>
    <w:rsid w:val="1B3C5E9B"/>
    <w:rsid w:val="1B3E2C6E"/>
    <w:rsid w:val="1B5C65BC"/>
    <w:rsid w:val="1B8147CD"/>
    <w:rsid w:val="1B974422"/>
    <w:rsid w:val="1B9E62FF"/>
    <w:rsid w:val="1BB002FD"/>
    <w:rsid w:val="1BC606B4"/>
    <w:rsid w:val="1C077DEC"/>
    <w:rsid w:val="1C1B158F"/>
    <w:rsid w:val="1C2E5F1A"/>
    <w:rsid w:val="1C4E34C0"/>
    <w:rsid w:val="1C4E65C6"/>
    <w:rsid w:val="1C8C2705"/>
    <w:rsid w:val="1C9D5FAB"/>
    <w:rsid w:val="1CC61512"/>
    <w:rsid w:val="1CCD127B"/>
    <w:rsid w:val="1CE73F78"/>
    <w:rsid w:val="1CF553FF"/>
    <w:rsid w:val="1D0B6536"/>
    <w:rsid w:val="1D5C30EF"/>
    <w:rsid w:val="1D8673A8"/>
    <w:rsid w:val="1DA83934"/>
    <w:rsid w:val="1DAD6FEF"/>
    <w:rsid w:val="1DBA149C"/>
    <w:rsid w:val="1DBB0E8E"/>
    <w:rsid w:val="1DBE6E65"/>
    <w:rsid w:val="1DE22526"/>
    <w:rsid w:val="1DEF6D8A"/>
    <w:rsid w:val="1E0E66B0"/>
    <w:rsid w:val="1E2C7696"/>
    <w:rsid w:val="1E364ECC"/>
    <w:rsid w:val="1E56247B"/>
    <w:rsid w:val="1E5D0198"/>
    <w:rsid w:val="1E6C3B23"/>
    <w:rsid w:val="1E7B67AF"/>
    <w:rsid w:val="1E940381"/>
    <w:rsid w:val="1E9C72B7"/>
    <w:rsid w:val="1E9E0D7D"/>
    <w:rsid w:val="1EC42BA8"/>
    <w:rsid w:val="1ED95F50"/>
    <w:rsid w:val="1EE20F73"/>
    <w:rsid w:val="1EE6442A"/>
    <w:rsid w:val="1EF1268E"/>
    <w:rsid w:val="1EF728BA"/>
    <w:rsid w:val="1F071EB1"/>
    <w:rsid w:val="1F1F2F10"/>
    <w:rsid w:val="1F290744"/>
    <w:rsid w:val="1F556E6D"/>
    <w:rsid w:val="1F63358C"/>
    <w:rsid w:val="1F7E6617"/>
    <w:rsid w:val="1F8D23B7"/>
    <w:rsid w:val="1F8E1E3C"/>
    <w:rsid w:val="1F8E333B"/>
    <w:rsid w:val="1FA45EA2"/>
    <w:rsid w:val="1FC46999"/>
    <w:rsid w:val="1FCD125A"/>
    <w:rsid w:val="1FFE5062"/>
    <w:rsid w:val="2026588B"/>
    <w:rsid w:val="20272A60"/>
    <w:rsid w:val="202B442F"/>
    <w:rsid w:val="202B7BFF"/>
    <w:rsid w:val="202E5182"/>
    <w:rsid w:val="20527635"/>
    <w:rsid w:val="20643EE4"/>
    <w:rsid w:val="20757808"/>
    <w:rsid w:val="208C68A6"/>
    <w:rsid w:val="209168A5"/>
    <w:rsid w:val="20B07264"/>
    <w:rsid w:val="20BF0C96"/>
    <w:rsid w:val="20C444FE"/>
    <w:rsid w:val="20CD46C9"/>
    <w:rsid w:val="20EF5ECD"/>
    <w:rsid w:val="210534A1"/>
    <w:rsid w:val="211663DC"/>
    <w:rsid w:val="21271AE5"/>
    <w:rsid w:val="21336B48"/>
    <w:rsid w:val="21544EE5"/>
    <w:rsid w:val="216A03FE"/>
    <w:rsid w:val="219F7B59"/>
    <w:rsid w:val="21BD6443"/>
    <w:rsid w:val="21DB072D"/>
    <w:rsid w:val="21E1429E"/>
    <w:rsid w:val="221D04D1"/>
    <w:rsid w:val="222D3672"/>
    <w:rsid w:val="222F1E4B"/>
    <w:rsid w:val="224B6C7E"/>
    <w:rsid w:val="2274785E"/>
    <w:rsid w:val="22837BCB"/>
    <w:rsid w:val="2296402F"/>
    <w:rsid w:val="22BC21FF"/>
    <w:rsid w:val="22DE3BE6"/>
    <w:rsid w:val="22FB1A60"/>
    <w:rsid w:val="2309569B"/>
    <w:rsid w:val="23356FED"/>
    <w:rsid w:val="23581A85"/>
    <w:rsid w:val="23587DB5"/>
    <w:rsid w:val="236F112D"/>
    <w:rsid w:val="237201D2"/>
    <w:rsid w:val="23AC1C16"/>
    <w:rsid w:val="23FF60A5"/>
    <w:rsid w:val="24016C52"/>
    <w:rsid w:val="242752D4"/>
    <w:rsid w:val="243253FF"/>
    <w:rsid w:val="2454118E"/>
    <w:rsid w:val="245822D1"/>
    <w:rsid w:val="246154E1"/>
    <w:rsid w:val="24683AD1"/>
    <w:rsid w:val="246C3C3E"/>
    <w:rsid w:val="2483078C"/>
    <w:rsid w:val="24883B6C"/>
    <w:rsid w:val="248966C9"/>
    <w:rsid w:val="24CC5606"/>
    <w:rsid w:val="24D12FE8"/>
    <w:rsid w:val="24EB2BD3"/>
    <w:rsid w:val="24F153DD"/>
    <w:rsid w:val="24F24A32"/>
    <w:rsid w:val="25164BFC"/>
    <w:rsid w:val="251C11AF"/>
    <w:rsid w:val="25313324"/>
    <w:rsid w:val="25406329"/>
    <w:rsid w:val="254F3FF3"/>
    <w:rsid w:val="25781FC7"/>
    <w:rsid w:val="25850B93"/>
    <w:rsid w:val="259C6A3C"/>
    <w:rsid w:val="25D66E9B"/>
    <w:rsid w:val="25E71D09"/>
    <w:rsid w:val="2605030F"/>
    <w:rsid w:val="260F08C9"/>
    <w:rsid w:val="2614261A"/>
    <w:rsid w:val="26185D9F"/>
    <w:rsid w:val="264A19DB"/>
    <w:rsid w:val="265B2C0E"/>
    <w:rsid w:val="265C78B6"/>
    <w:rsid w:val="26790560"/>
    <w:rsid w:val="26A120FC"/>
    <w:rsid w:val="26AF4605"/>
    <w:rsid w:val="26D54F05"/>
    <w:rsid w:val="26E2748C"/>
    <w:rsid w:val="27354E6E"/>
    <w:rsid w:val="27537156"/>
    <w:rsid w:val="276439B0"/>
    <w:rsid w:val="27767BD4"/>
    <w:rsid w:val="279B2753"/>
    <w:rsid w:val="27C4672E"/>
    <w:rsid w:val="27E9294F"/>
    <w:rsid w:val="27EC7D69"/>
    <w:rsid w:val="27FD7185"/>
    <w:rsid w:val="281F2746"/>
    <w:rsid w:val="28484C9C"/>
    <w:rsid w:val="288A1C16"/>
    <w:rsid w:val="28E038CC"/>
    <w:rsid w:val="28EF4C6F"/>
    <w:rsid w:val="28F93591"/>
    <w:rsid w:val="28FE3F67"/>
    <w:rsid w:val="2916341D"/>
    <w:rsid w:val="292E23A1"/>
    <w:rsid w:val="29415445"/>
    <w:rsid w:val="29422464"/>
    <w:rsid w:val="29867381"/>
    <w:rsid w:val="29A603F3"/>
    <w:rsid w:val="29C146E7"/>
    <w:rsid w:val="29C30014"/>
    <w:rsid w:val="29E14C3A"/>
    <w:rsid w:val="29E24BC3"/>
    <w:rsid w:val="2A0409EA"/>
    <w:rsid w:val="2A530B40"/>
    <w:rsid w:val="2A676462"/>
    <w:rsid w:val="2A6E0D46"/>
    <w:rsid w:val="2A7E237D"/>
    <w:rsid w:val="2A9F06B6"/>
    <w:rsid w:val="2AAB70BE"/>
    <w:rsid w:val="2AAF5B1F"/>
    <w:rsid w:val="2AC53078"/>
    <w:rsid w:val="2B050E52"/>
    <w:rsid w:val="2B2E62C4"/>
    <w:rsid w:val="2B395AE8"/>
    <w:rsid w:val="2B447607"/>
    <w:rsid w:val="2B666BC9"/>
    <w:rsid w:val="2B842C0F"/>
    <w:rsid w:val="2B937DB7"/>
    <w:rsid w:val="2B953440"/>
    <w:rsid w:val="2BB01ECB"/>
    <w:rsid w:val="2BBD758C"/>
    <w:rsid w:val="2BF44681"/>
    <w:rsid w:val="2BF57543"/>
    <w:rsid w:val="2C0F02A1"/>
    <w:rsid w:val="2C172509"/>
    <w:rsid w:val="2C5207CC"/>
    <w:rsid w:val="2C545978"/>
    <w:rsid w:val="2C5869F2"/>
    <w:rsid w:val="2C8F6FB0"/>
    <w:rsid w:val="2C944F4D"/>
    <w:rsid w:val="2C976EA3"/>
    <w:rsid w:val="2CA9043D"/>
    <w:rsid w:val="2CB16569"/>
    <w:rsid w:val="2CBE7540"/>
    <w:rsid w:val="2CD55EF3"/>
    <w:rsid w:val="2D014454"/>
    <w:rsid w:val="2D057887"/>
    <w:rsid w:val="2D383FF5"/>
    <w:rsid w:val="2D8746FE"/>
    <w:rsid w:val="2D932BC4"/>
    <w:rsid w:val="2D9607E4"/>
    <w:rsid w:val="2DA11098"/>
    <w:rsid w:val="2DCE20B1"/>
    <w:rsid w:val="2DFF16CA"/>
    <w:rsid w:val="2E19196F"/>
    <w:rsid w:val="2E4A1B59"/>
    <w:rsid w:val="2E8865E6"/>
    <w:rsid w:val="2EA72E10"/>
    <w:rsid w:val="2EBF73DB"/>
    <w:rsid w:val="2EC16117"/>
    <w:rsid w:val="2EC365B6"/>
    <w:rsid w:val="2EF835C5"/>
    <w:rsid w:val="2F002216"/>
    <w:rsid w:val="2F1457B5"/>
    <w:rsid w:val="2F353FA1"/>
    <w:rsid w:val="2F3E547B"/>
    <w:rsid w:val="2F686A0A"/>
    <w:rsid w:val="2F7617BF"/>
    <w:rsid w:val="2FB24942"/>
    <w:rsid w:val="2FBF46D5"/>
    <w:rsid w:val="2FCF3C18"/>
    <w:rsid w:val="2FD216AA"/>
    <w:rsid w:val="2FDE2CC4"/>
    <w:rsid w:val="2FF964E9"/>
    <w:rsid w:val="30343219"/>
    <w:rsid w:val="3069023C"/>
    <w:rsid w:val="30693FB0"/>
    <w:rsid w:val="30AE5971"/>
    <w:rsid w:val="30BA7FD3"/>
    <w:rsid w:val="30CC78FB"/>
    <w:rsid w:val="30E53898"/>
    <w:rsid w:val="30FB06EB"/>
    <w:rsid w:val="30FC23BF"/>
    <w:rsid w:val="312D706B"/>
    <w:rsid w:val="312F1D8D"/>
    <w:rsid w:val="315037C8"/>
    <w:rsid w:val="3163566D"/>
    <w:rsid w:val="31766656"/>
    <w:rsid w:val="317F5C72"/>
    <w:rsid w:val="31B10A16"/>
    <w:rsid w:val="3221523C"/>
    <w:rsid w:val="32240326"/>
    <w:rsid w:val="32364AAC"/>
    <w:rsid w:val="323B0398"/>
    <w:rsid w:val="323C27F9"/>
    <w:rsid w:val="32567049"/>
    <w:rsid w:val="32670B6C"/>
    <w:rsid w:val="3267118D"/>
    <w:rsid w:val="329F7FAA"/>
    <w:rsid w:val="32A40E9A"/>
    <w:rsid w:val="32B974CE"/>
    <w:rsid w:val="32C0421A"/>
    <w:rsid w:val="32F323E1"/>
    <w:rsid w:val="33134E71"/>
    <w:rsid w:val="33284F60"/>
    <w:rsid w:val="333F7689"/>
    <w:rsid w:val="334C4FCF"/>
    <w:rsid w:val="334E1137"/>
    <w:rsid w:val="33780459"/>
    <w:rsid w:val="338324F0"/>
    <w:rsid w:val="33850CEE"/>
    <w:rsid w:val="339251B3"/>
    <w:rsid w:val="33A53681"/>
    <w:rsid w:val="33A8746A"/>
    <w:rsid w:val="33D67F35"/>
    <w:rsid w:val="33DD3F5D"/>
    <w:rsid w:val="33DE7C3C"/>
    <w:rsid w:val="33E45BB5"/>
    <w:rsid w:val="33EA16E9"/>
    <w:rsid w:val="34160775"/>
    <w:rsid w:val="342B72B3"/>
    <w:rsid w:val="342E3162"/>
    <w:rsid w:val="343568C5"/>
    <w:rsid w:val="343E678D"/>
    <w:rsid w:val="34492D5D"/>
    <w:rsid w:val="346B63A7"/>
    <w:rsid w:val="347468BD"/>
    <w:rsid w:val="34942A84"/>
    <w:rsid w:val="34AA7D39"/>
    <w:rsid w:val="34EA2E34"/>
    <w:rsid w:val="35333B19"/>
    <w:rsid w:val="356E4C31"/>
    <w:rsid w:val="35895BE5"/>
    <w:rsid w:val="35B01579"/>
    <w:rsid w:val="35B041F0"/>
    <w:rsid w:val="35D35246"/>
    <w:rsid w:val="35F375F5"/>
    <w:rsid w:val="361F297A"/>
    <w:rsid w:val="36264525"/>
    <w:rsid w:val="36355318"/>
    <w:rsid w:val="363B6F7E"/>
    <w:rsid w:val="3661677F"/>
    <w:rsid w:val="367C0C04"/>
    <w:rsid w:val="368F480F"/>
    <w:rsid w:val="36BD312A"/>
    <w:rsid w:val="36CA5847"/>
    <w:rsid w:val="36D057D2"/>
    <w:rsid w:val="36DA2B8F"/>
    <w:rsid w:val="36EF4C3E"/>
    <w:rsid w:val="36FD739D"/>
    <w:rsid w:val="37080B88"/>
    <w:rsid w:val="372A2BED"/>
    <w:rsid w:val="37913E5E"/>
    <w:rsid w:val="37B13455"/>
    <w:rsid w:val="37B37965"/>
    <w:rsid w:val="37B740CA"/>
    <w:rsid w:val="37F549A9"/>
    <w:rsid w:val="381D7817"/>
    <w:rsid w:val="384732B7"/>
    <w:rsid w:val="384B0C09"/>
    <w:rsid w:val="384E1BEE"/>
    <w:rsid w:val="386B7B6A"/>
    <w:rsid w:val="38B76571"/>
    <w:rsid w:val="38C816E6"/>
    <w:rsid w:val="38D53C2A"/>
    <w:rsid w:val="38D679D8"/>
    <w:rsid w:val="38DD0EBE"/>
    <w:rsid w:val="38FD760E"/>
    <w:rsid w:val="390F7FDF"/>
    <w:rsid w:val="3916659C"/>
    <w:rsid w:val="39181CE1"/>
    <w:rsid w:val="391C7FEA"/>
    <w:rsid w:val="39981D26"/>
    <w:rsid w:val="39A04C8F"/>
    <w:rsid w:val="39A1131E"/>
    <w:rsid w:val="39B5512A"/>
    <w:rsid w:val="39CD7B28"/>
    <w:rsid w:val="3A2522BA"/>
    <w:rsid w:val="3A502507"/>
    <w:rsid w:val="3A6344E8"/>
    <w:rsid w:val="3A6B253C"/>
    <w:rsid w:val="3A996F2F"/>
    <w:rsid w:val="3AA556B5"/>
    <w:rsid w:val="3AAC5111"/>
    <w:rsid w:val="3AC03914"/>
    <w:rsid w:val="3ADE5D4A"/>
    <w:rsid w:val="3AF84C55"/>
    <w:rsid w:val="3B16739C"/>
    <w:rsid w:val="3B252C76"/>
    <w:rsid w:val="3B3911ED"/>
    <w:rsid w:val="3B6C2764"/>
    <w:rsid w:val="3BAC2F41"/>
    <w:rsid w:val="3BE5650E"/>
    <w:rsid w:val="3BFE6839"/>
    <w:rsid w:val="3C091AD2"/>
    <w:rsid w:val="3C26254E"/>
    <w:rsid w:val="3C3A66C0"/>
    <w:rsid w:val="3C4E7D38"/>
    <w:rsid w:val="3C741B57"/>
    <w:rsid w:val="3C79287D"/>
    <w:rsid w:val="3C8A15BC"/>
    <w:rsid w:val="3C910183"/>
    <w:rsid w:val="3CBE5EA4"/>
    <w:rsid w:val="3CC05A5B"/>
    <w:rsid w:val="3CD23EE6"/>
    <w:rsid w:val="3CDA1BFE"/>
    <w:rsid w:val="3D046B47"/>
    <w:rsid w:val="3D057046"/>
    <w:rsid w:val="3D086DB8"/>
    <w:rsid w:val="3D155A58"/>
    <w:rsid w:val="3D232FFF"/>
    <w:rsid w:val="3D4D4690"/>
    <w:rsid w:val="3D7D73FE"/>
    <w:rsid w:val="3D7E5A35"/>
    <w:rsid w:val="3D89707D"/>
    <w:rsid w:val="3DBA286B"/>
    <w:rsid w:val="3E044EA4"/>
    <w:rsid w:val="3E1777B8"/>
    <w:rsid w:val="3E2A1425"/>
    <w:rsid w:val="3E42433D"/>
    <w:rsid w:val="3E432AAE"/>
    <w:rsid w:val="3E6B5B61"/>
    <w:rsid w:val="3E6F5651"/>
    <w:rsid w:val="3E716041"/>
    <w:rsid w:val="3E836C0B"/>
    <w:rsid w:val="3E840AC1"/>
    <w:rsid w:val="3E95361A"/>
    <w:rsid w:val="3EAB56E5"/>
    <w:rsid w:val="3EAD43CC"/>
    <w:rsid w:val="3EBB3BDC"/>
    <w:rsid w:val="3EBE7E23"/>
    <w:rsid w:val="3EEE352E"/>
    <w:rsid w:val="3F4E22CC"/>
    <w:rsid w:val="3F586AB4"/>
    <w:rsid w:val="3F5F7741"/>
    <w:rsid w:val="3F8E4991"/>
    <w:rsid w:val="3F937991"/>
    <w:rsid w:val="3F9815EF"/>
    <w:rsid w:val="3F9B06C8"/>
    <w:rsid w:val="3FA70191"/>
    <w:rsid w:val="3FAC6431"/>
    <w:rsid w:val="3FB5178A"/>
    <w:rsid w:val="3FB550F0"/>
    <w:rsid w:val="3FB61CF6"/>
    <w:rsid w:val="3FDA4A16"/>
    <w:rsid w:val="3FED4E68"/>
    <w:rsid w:val="3FF31914"/>
    <w:rsid w:val="40031C76"/>
    <w:rsid w:val="400F4099"/>
    <w:rsid w:val="402661E4"/>
    <w:rsid w:val="40275FFB"/>
    <w:rsid w:val="402E727E"/>
    <w:rsid w:val="40384A03"/>
    <w:rsid w:val="403E2FBC"/>
    <w:rsid w:val="406360C5"/>
    <w:rsid w:val="407658E8"/>
    <w:rsid w:val="407B0D28"/>
    <w:rsid w:val="40804B95"/>
    <w:rsid w:val="40A128D7"/>
    <w:rsid w:val="40BC6352"/>
    <w:rsid w:val="40C20753"/>
    <w:rsid w:val="40C654E6"/>
    <w:rsid w:val="40F00BEF"/>
    <w:rsid w:val="410F2B1D"/>
    <w:rsid w:val="412637B5"/>
    <w:rsid w:val="41525571"/>
    <w:rsid w:val="41650F8E"/>
    <w:rsid w:val="41657F07"/>
    <w:rsid w:val="418B6A8C"/>
    <w:rsid w:val="41A63AD9"/>
    <w:rsid w:val="41AC5149"/>
    <w:rsid w:val="41CB3079"/>
    <w:rsid w:val="41CB75EC"/>
    <w:rsid w:val="42073598"/>
    <w:rsid w:val="423651B0"/>
    <w:rsid w:val="425E3A1A"/>
    <w:rsid w:val="426937A8"/>
    <w:rsid w:val="42841165"/>
    <w:rsid w:val="429331FE"/>
    <w:rsid w:val="42DA15D9"/>
    <w:rsid w:val="430B0592"/>
    <w:rsid w:val="431C1B20"/>
    <w:rsid w:val="431F264A"/>
    <w:rsid w:val="43271D03"/>
    <w:rsid w:val="432F532C"/>
    <w:rsid w:val="43510F4F"/>
    <w:rsid w:val="43531E20"/>
    <w:rsid w:val="435C1F1C"/>
    <w:rsid w:val="436F7688"/>
    <w:rsid w:val="437246CB"/>
    <w:rsid w:val="437555D8"/>
    <w:rsid w:val="43860D47"/>
    <w:rsid w:val="43DE2931"/>
    <w:rsid w:val="43EA5B4D"/>
    <w:rsid w:val="43FF573C"/>
    <w:rsid w:val="44051930"/>
    <w:rsid w:val="440A2A4E"/>
    <w:rsid w:val="44263669"/>
    <w:rsid w:val="443473EE"/>
    <w:rsid w:val="44872FC9"/>
    <w:rsid w:val="449B219F"/>
    <w:rsid w:val="44CA39D3"/>
    <w:rsid w:val="44E3214E"/>
    <w:rsid w:val="451C7875"/>
    <w:rsid w:val="4535042C"/>
    <w:rsid w:val="45391AD0"/>
    <w:rsid w:val="45660CC7"/>
    <w:rsid w:val="45784225"/>
    <w:rsid w:val="458A08FF"/>
    <w:rsid w:val="458F3193"/>
    <w:rsid w:val="45BB3F85"/>
    <w:rsid w:val="45C46CAB"/>
    <w:rsid w:val="45CD676B"/>
    <w:rsid w:val="46343D10"/>
    <w:rsid w:val="464663A7"/>
    <w:rsid w:val="464C44CA"/>
    <w:rsid w:val="466318A2"/>
    <w:rsid w:val="46650239"/>
    <w:rsid w:val="46690B10"/>
    <w:rsid w:val="46794B93"/>
    <w:rsid w:val="46C85CA7"/>
    <w:rsid w:val="46D251DB"/>
    <w:rsid w:val="46FD2E98"/>
    <w:rsid w:val="47213C5C"/>
    <w:rsid w:val="4727188D"/>
    <w:rsid w:val="47570719"/>
    <w:rsid w:val="475F3D89"/>
    <w:rsid w:val="4764152B"/>
    <w:rsid w:val="476E05AF"/>
    <w:rsid w:val="478E6495"/>
    <w:rsid w:val="47946873"/>
    <w:rsid w:val="47E936CC"/>
    <w:rsid w:val="47FB204E"/>
    <w:rsid w:val="48070835"/>
    <w:rsid w:val="480E1D22"/>
    <w:rsid w:val="481377BE"/>
    <w:rsid w:val="48141018"/>
    <w:rsid w:val="481B6B90"/>
    <w:rsid w:val="48383932"/>
    <w:rsid w:val="48426834"/>
    <w:rsid w:val="48501F5A"/>
    <w:rsid w:val="486F60DC"/>
    <w:rsid w:val="48773817"/>
    <w:rsid w:val="489303FA"/>
    <w:rsid w:val="48AB15B4"/>
    <w:rsid w:val="48D74F16"/>
    <w:rsid w:val="48E0682A"/>
    <w:rsid w:val="48F405AC"/>
    <w:rsid w:val="4901352E"/>
    <w:rsid w:val="49104058"/>
    <w:rsid w:val="491318A3"/>
    <w:rsid w:val="491C0B35"/>
    <w:rsid w:val="492E200B"/>
    <w:rsid w:val="494449F0"/>
    <w:rsid w:val="498368AD"/>
    <w:rsid w:val="49967E13"/>
    <w:rsid w:val="49A46F7C"/>
    <w:rsid w:val="49BC67F5"/>
    <w:rsid w:val="49C46024"/>
    <w:rsid w:val="49DF34C8"/>
    <w:rsid w:val="49FD357A"/>
    <w:rsid w:val="4A0779BB"/>
    <w:rsid w:val="4A1452FF"/>
    <w:rsid w:val="4A314103"/>
    <w:rsid w:val="4A693A30"/>
    <w:rsid w:val="4A9B53EB"/>
    <w:rsid w:val="4AA171CF"/>
    <w:rsid w:val="4AA20B5D"/>
    <w:rsid w:val="4AB56AE2"/>
    <w:rsid w:val="4ABA2520"/>
    <w:rsid w:val="4ADA6548"/>
    <w:rsid w:val="4AE01685"/>
    <w:rsid w:val="4B145AC3"/>
    <w:rsid w:val="4B215EE2"/>
    <w:rsid w:val="4B287327"/>
    <w:rsid w:val="4B4E701E"/>
    <w:rsid w:val="4B5367AB"/>
    <w:rsid w:val="4B550117"/>
    <w:rsid w:val="4B57537A"/>
    <w:rsid w:val="4B91142B"/>
    <w:rsid w:val="4B997691"/>
    <w:rsid w:val="4B9E6FC7"/>
    <w:rsid w:val="4BA17BB1"/>
    <w:rsid w:val="4BA61C19"/>
    <w:rsid w:val="4BB17544"/>
    <w:rsid w:val="4BDA2FA4"/>
    <w:rsid w:val="4BDA7BDE"/>
    <w:rsid w:val="4C066EC9"/>
    <w:rsid w:val="4C200AB7"/>
    <w:rsid w:val="4C2B1536"/>
    <w:rsid w:val="4C4E0361"/>
    <w:rsid w:val="4C627573"/>
    <w:rsid w:val="4C6E22F2"/>
    <w:rsid w:val="4C742085"/>
    <w:rsid w:val="4C755EB2"/>
    <w:rsid w:val="4CC375BD"/>
    <w:rsid w:val="4CCB045F"/>
    <w:rsid w:val="4D117750"/>
    <w:rsid w:val="4D3536EC"/>
    <w:rsid w:val="4D4B3269"/>
    <w:rsid w:val="4D7C38E7"/>
    <w:rsid w:val="4D901E98"/>
    <w:rsid w:val="4D9A74C6"/>
    <w:rsid w:val="4DB42275"/>
    <w:rsid w:val="4DCA212D"/>
    <w:rsid w:val="4DEA165E"/>
    <w:rsid w:val="4DED0341"/>
    <w:rsid w:val="4DF122ED"/>
    <w:rsid w:val="4E0A0652"/>
    <w:rsid w:val="4E165AE9"/>
    <w:rsid w:val="4E3E338A"/>
    <w:rsid w:val="4E4A316A"/>
    <w:rsid w:val="4E4C640D"/>
    <w:rsid w:val="4E5F6ABF"/>
    <w:rsid w:val="4E605148"/>
    <w:rsid w:val="4E9E5B88"/>
    <w:rsid w:val="4ED3687E"/>
    <w:rsid w:val="4ED41501"/>
    <w:rsid w:val="4EE279E4"/>
    <w:rsid w:val="4EF03001"/>
    <w:rsid w:val="4EF83441"/>
    <w:rsid w:val="4F002502"/>
    <w:rsid w:val="4F412153"/>
    <w:rsid w:val="4F4620DE"/>
    <w:rsid w:val="4F4915A7"/>
    <w:rsid w:val="4F6001E4"/>
    <w:rsid w:val="4F6936E2"/>
    <w:rsid w:val="4F9C3B48"/>
    <w:rsid w:val="4FB76463"/>
    <w:rsid w:val="4FCA0722"/>
    <w:rsid w:val="4FE44228"/>
    <w:rsid w:val="502D37CD"/>
    <w:rsid w:val="5077129C"/>
    <w:rsid w:val="50DD211F"/>
    <w:rsid w:val="510510EE"/>
    <w:rsid w:val="51390543"/>
    <w:rsid w:val="513C7C8F"/>
    <w:rsid w:val="514671E4"/>
    <w:rsid w:val="514725FF"/>
    <w:rsid w:val="51476EDD"/>
    <w:rsid w:val="514D7488"/>
    <w:rsid w:val="517A074C"/>
    <w:rsid w:val="51B3364F"/>
    <w:rsid w:val="51F93351"/>
    <w:rsid w:val="52027B1D"/>
    <w:rsid w:val="521A4300"/>
    <w:rsid w:val="521B4293"/>
    <w:rsid w:val="52314764"/>
    <w:rsid w:val="523269B8"/>
    <w:rsid w:val="52327DB8"/>
    <w:rsid w:val="5235274C"/>
    <w:rsid w:val="524D228B"/>
    <w:rsid w:val="525C1BFB"/>
    <w:rsid w:val="52B96A43"/>
    <w:rsid w:val="52E066C6"/>
    <w:rsid w:val="52F87218"/>
    <w:rsid w:val="531436A3"/>
    <w:rsid w:val="53230D72"/>
    <w:rsid w:val="535E7B46"/>
    <w:rsid w:val="536A530E"/>
    <w:rsid w:val="537F3810"/>
    <w:rsid w:val="53A302FE"/>
    <w:rsid w:val="53B1627C"/>
    <w:rsid w:val="53BD739C"/>
    <w:rsid w:val="53C714EB"/>
    <w:rsid w:val="53FA37B7"/>
    <w:rsid w:val="54146D3A"/>
    <w:rsid w:val="54247674"/>
    <w:rsid w:val="542B4CDD"/>
    <w:rsid w:val="542F3BAF"/>
    <w:rsid w:val="543F0B71"/>
    <w:rsid w:val="54402AC8"/>
    <w:rsid w:val="54413BBD"/>
    <w:rsid w:val="54773AB8"/>
    <w:rsid w:val="54835BAE"/>
    <w:rsid w:val="54957EAD"/>
    <w:rsid w:val="54AF2238"/>
    <w:rsid w:val="54BF1552"/>
    <w:rsid w:val="54EB44B8"/>
    <w:rsid w:val="54F327E6"/>
    <w:rsid w:val="55097557"/>
    <w:rsid w:val="550C4A13"/>
    <w:rsid w:val="550E6120"/>
    <w:rsid w:val="55147332"/>
    <w:rsid w:val="555D100A"/>
    <w:rsid w:val="55723466"/>
    <w:rsid w:val="557B0E03"/>
    <w:rsid w:val="5583327B"/>
    <w:rsid w:val="558E115C"/>
    <w:rsid w:val="559D368B"/>
    <w:rsid w:val="55BA3189"/>
    <w:rsid w:val="55E26D5E"/>
    <w:rsid w:val="55EE2B43"/>
    <w:rsid w:val="56430949"/>
    <w:rsid w:val="566E4B9B"/>
    <w:rsid w:val="56867714"/>
    <w:rsid w:val="56AD0069"/>
    <w:rsid w:val="56BA7BC1"/>
    <w:rsid w:val="571D7A67"/>
    <w:rsid w:val="57302132"/>
    <w:rsid w:val="573A623F"/>
    <w:rsid w:val="57596E82"/>
    <w:rsid w:val="57660425"/>
    <w:rsid w:val="5785141A"/>
    <w:rsid w:val="57933974"/>
    <w:rsid w:val="579772AD"/>
    <w:rsid w:val="579C0C64"/>
    <w:rsid w:val="57A7053D"/>
    <w:rsid w:val="57AE4113"/>
    <w:rsid w:val="57C87A94"/>
    <w:rsid w:val="57CF0AB7"/>
    <w:rsid w:val="57E427B4"/>
    <w:rsid w:val="57E836DF"/>
    <w:rsid w:val="57FF5E5D"/>
    <w:rsid w:val="58164D94"/>
    <w:rsid w:val="582C2D08"/>
    <w:rsid w:val="58613425"/>
    <w:rsid w:val="5868564A"/>
    <w:rsid w:val="586F4C47"/>
    <w:rsid w:val="58765BA7"/>
    <w:rsid w:val="587F24DD"/>
    <w:rsid w:val="58A13E28"/>
    <w:rsid w:val="58AD754F"/>
    <w:rsid w:val="58BB10B7"/>
    <w:rsid w:val="58C01B6F"/>
    <w:rsid w:val="58D87AC8"/>
    <w:rsid w:val="58E2020F"/>
    <w:rsid w:val="58F262ED"/>
    <w:rsid w:val="58F7372F"/>
    <w:rsid w:val="58FA3A66"/>
    <w:rsid w:val="59161A5E"/>
    <w:rsid w:val="59193D8D"/>
    <w:rsid w:val="59422509"/>
    <w:rsid w:val="594F36E5"/>
    <w:rsid w:val="5953021C"/>
    <w:rsid w:val="598B6BDD"/>
    <w:rsid w:val="59954891"/>
    <w:rsid w:val="59997120"/>
    <w:rsid w:val="59B259EE"/>
    <w:rsid w:val="59B6224C"/>
    <w:rsid w:val="59BB22FD"/>
    <w:rsid w:val="59DE3233"/>
    <w:rsid w:val="5A1D6602"/>
    <w:rsid w:val="5A27024D"/>
    <w:rsid w:val="5A3471E2"/>
    <w:rsid w:val="5A3B4760"/>
    <w:rsid w:val="5A3D79B5"/>
    <w:rsid w:val="5A46561C"/>
    <w:rsid w:val="5A47461B"/>
    <w:rsid w:val="5A496D16"/>
    <w:rsid w:val="5A520593"/>
    <w:rsid w:val="5A6C083F"/>
    <w:rsid w:val="5A7E7268"/>
    <w:rsid w:val="5A820806"/>
    <w:rsid w:val="5A890855"/>
    <w:rsid w:val="5AA538D2"/>
    <w:rsid w:val="5AC62645"/>
    <w:rsid w:val="5AE03671"/>
    <w:rsid w:val="5AED3F95"/>
    <w:rsid w:val="5AF10CDC"/>
    <w:rsid w:val="5AF17D4A"/>
    <w:rsid w:val="5AF96577"/>
    <w:rsid w:val="5B17027D"/>
    <w:rsid w:val="5B830AF3"/>
    <w:rsid w:val="5BAD5278"/>
    <w:rsid w:val="5BCF20F4"/>
    <w:rsid w:val="5BDE7A8C"/>
    <w:rsid w:val="5BDF6D58"/>
    <w:rsid w:val="5C082F0E"/>
    <w:rsid w:val="5C3819C7"/>
    <w:rsid w:val="5C5F427F"/>
    <w:rsid w:val="5C6739B4"/>
    <w:rsid w:val="5C6F082B"/>
    <w:rsid w:val="5CCD72C8"/>
    <w:rsid w:val="5CD3477B"/>
    <w:rsid w:val="5CD4287D"/>
    <w:rsid w:val="5D0F5F7C"/>
    <w:rsid w:val="5D121745"/>
    <w:rsid w:val="5D2C2401"/>
    <w:rsid w:val="5D2C31ED"/>
    <w:rsid w:val="5D4F24BC"/>
    <w:rsid w:val="5D582883"/>
    <w:rsid w:val="5D5A1355"/>
    <w:rsid w:val="5D635E07"/>
    <w:rsid w:val="5D6F2B20"/>
    <w:rsid w:val="5D99194B"/>
    <w:rsid w:val="5D9B54E8"/>
    <w:rsid w:val="5DA30A5F"/>
    <w:rsid w:val="5DA94723"/>
    <w:rsid w:val="5DCA7B28"/>
    <w:rsid w:val="5DCA7D57"/>
    <w:rsid w:val="5DDC114F"/>
    <w:rsid w:val="5E0B1411"/>
    <w:rsid w:val="5E1C7D46"/>
    <w:rsid w:val="5E5D5057"/>
    <w:rsid w:val="5E6630FE"/>
    <w:rsid w:val="5E7D4FFA"/>
    <w:rsid w:val="5E897C12"/>
    <w:rsid w:val="5ECB415A"/>
    <w:rsid w:val="5EEE0B21"/>
    <w:rsid w:val="5F1B1CF5"/>
    <w:rsid w:val="5F1E7FC3"/>
    <w:rsid w:val="5F202BC6"/>
    <w:rsid w:val="5F3F074E"/>
    <w:rsid w:val="5F553F98"/>
    <w:rsid w:val="5FA95927"/>
    <w:rsid w:val="5FAC2C81"/>
    <w:rsid w:val="5FB05D39"/>
    <w:rsid w:val="5FC73E98"/>
    <w:rsid w:val="5FD91D02"/>
    <w:rsid w:val="5FF86E53"/>
    <w:rsid w:val="5FFA33A1"/>
    <w:rsid w:val="600C124D"/>
    <w:rsid w:val="60143246"/>
    <w:rsid w:val="601856F1"/>
    <w:rsid w:val="60196AA9"/>
    <w:rsid w:val="60433DF0"/>
    <w:rsid w:val="60692EAF"/>
    <w:rsid w:val="60B33D4E"/>
    <w:rsid w:val="60C516B8"/>
    <w:rsid w:val="60E04B43"/>
    <w:rsid w:val="61242070"/>
    <w:rsid w:val="613A33FB"/>
    <w:rsid w:val="61765893"/>
    <w:rsid w:val="617F74D5"/>
    <w:rsid w:val="61933E8B"/>
    <w:rsid w:val="61C26834"/>
    <w:rsid w:val="61CC0DD2"/>
    <w:rsid w:val="61D37B41"/>
    <w:rsid w:val="61EF4BFA"/>
    <w:rsid w:val="62246D2B"/>
    <w:rsid w:val="62250751"/>
    <w:rsid w:val="625751BD"/>
    <w:rsid w:val="625B0AC8"/>
    <w:rsid w:val="625B7B17"/>
    <w:rsid w:val="62663640"/>
    <w:rsid w:val="62703C46"/>
    <w:rsid w:val="62710777"/>
    <w:rsid w:val="62836665"/>
    <w:rsid w:val="629F3014"/>
    <w:rsid w:val="62B92F79"/>
    <w:rsid w:val="62CE0D85"/>
    <w:rsid w:val="62CE5303"/>
    <w:rsid w:val="62D2470F"/>
    <w:rsid w:val="62E25D2A"/>
    <w:rsid w:val="631A170C"/>
    <w:rsid w:val="6320666B"/>
    <w:rsid w:val="632D25F6"/>
    <w:rsid w:val="633246F6"/>
    <w:rsid w:val="633A7A6B"/>
    <w:rsid w:val="63454DA9"/>
    <w:rsid w:val="635B7AD3"/>
    <w:rsid w:val="635C33C4"/>
    <w:rsid w:val="636B2F96"/>
    <w:rsid w:val="639D3F73"/>
    <w:rsid w:val="63AB2D92"/>
    <w:rsid w:val="63CC2E78"/>
    <w:rsid w:val="63CF7101"/>
    <w:rsid w:val="63D14CCC"/>
    <w:rsid w:val="63D5673A"/>
    <w:rsid w:val="6412517E"/>
    <w:rsid w:val="641E6D63"/>
    <w:rsid w:val="64413CE3"/>
    <w:rsid w:val="648904D4"/>
    <w:rsid w:val="649D2DF3"/>
    <w:rsid w:val="64B14AA1"/>
    <w:rsid w:val="64CF5025"/>
    <w:rsid w:val="64E77440"/>
    <w:rsid w:val="64F10DF4"/>
    <w:rsid w:val="64FD0E8E"/>
    <w:rsid w:val="6529485E"/>
    <w:rsid w:val="652A1BE5"/>
    <w:rsid w:val="652D5C45"/>
    <w:rsid w:val="6544043C"/>
    <w:rsid w:val="65484B75"/>
    <w:rsid w:val="655F16CC"/>
    <w:rsid w:val="65614682"/>
    <w:rsid w:val="6561478D"/>
    <w:rsid w:val="65704F0B"/>
    <w:rsid w:val="65716F7B"/>
    <w:rsid w:val="65916096"/>
    <w:rsid w:val="65A12C74"/>
    <w:rsid w:val="65B17A4E"/>
    <w:rsid w:val="65F41ABE"/>
    <w:rsid w:val="660C047A"/>
    <w:rsid w:val="660C2B62"/>
    <w:rsid w:val="661A1F72"/>
    <w:rsid w:val="662F72F1"/>
    <w:rsid w:val="664229D1"/>
    <w:rsid w:val="66456DE2"/>
    <w:rsid w:val="66A61E02"/>
    <w:rsid w:val="66B21638"/>
    <w:rsid w:val="66C169C9"/>
    <w:rsid w:val="66CB4B3F"/>
    <w:rsid w:val="66D15AE5"/>
    <w:rsid w:val="66E33905"/>
    <w:rsid w:val="66FE68C2"/>
    <w:rsid w:val="67007A09"/>
    <w:rsid w:val="6719272E"/>
    <w:rsid w:val="67222465"/>
    <w:rsid w:val="672B1C97"/>
    <w:rsid w:val="6731502D"/>
    <w:rsid w:val="673647C9"/>
    <w:rsid w:val="67580C20"/>
    <w:rsid w:val="676034DA"/>
    <w:rsid w:val="676A25AA"/>
    <w:rsid w:val="67931B01"/>
    <w:rsid w:val="67B910A6"/>
    <w:rsid w:val="67BC0C04"/>
    <w:rsid w:val="67BC1181"/>
    <w:rsid w:val="67D85766"/>
    <w:rsid w:val="67E22141"/>
    <w:rsid w:val="67EE17B9"/>
    <w:rsid w:val="67FD6F7B"/>
    <w:rsid w:val="68201980"/>
    <w:rsid w:val="682C428A"/>
    <w:rsid w:val="68417A3D"/>
    <w:rsid w:val="685B4B70"/>
    <w:rsid w:val="686E3917"/>
    <w:rsid w:val="68AD2FEE"/>
    <w:rsid w:val="68E00DF7"/>
    <w:rsid w:val="68EF4A3B"/>
    <w:rsid w:val="6924643A"/>
    <w:rsid w:val="693175BB"/>
    <w:rsid w:val="693A03E7"/>
    <w:rsid w:val="69540E1C"/>
    <w:rsid w:val="69657C66"/>
    <w:rsid w:val="69783C11"/>
    <w:rsid w:val="69847C9F"/>
    <w:rsid w:val="698A4A31"/>
    <w:rsid w:val="699B21D2"/>
    <w:rsid w:val="69CB37D4"/>
    <w:rsid w:val="69E32DF2"/>
    <w:rsid w:val="69FB4EB0"/>
    <w:rsid w:val="6A200489"/>
    <w:rsid w:val="6A227E41"/>
    <w:rsid w:val="6A2D22FB"/>
    <w:rsid w:val="6A2E180A"/>
    <w:rsid w:val="6A432652"/>
    <w:rsid w:val="6A444B27"/>
    <w:rsid w:val="6A663309"/>
    <w:rsid w:val="6A664182"/>
    <w:rsid w:val="6A75159F"/>
    <w:rsid w:val="6A7A7300"/>
    <w:rsid w:val="6A940D17"/>
    <w:rsid w:val="6AAB72AD"/>
    <w:rsid w:val="6AB35162"/>
    <w:rsid w:val="6ABB46AF"/>
    <w:rsid w:val="6AF62166"/>
    <w:rsid w:val="6AFD111B"/>
    <w:rsid w:val="6B056301"/>
    <w:rsid w:val="6B0F1600"/>
    <w:rsid w:val="6B135B79"/>
    <w:rsid w:val="6B546049"/>
    <w:rsid w:val="6B593614"/>
    <w:rsid w:val="6B714C08"/>
    <w:rsid w:val="6B7960D5"/>
    <w:rsid w:val="6B986CC4"/>
    <w:rsid w:val="6BA73DCD"/>
    <w:rsid w:val="6BBA0E63"/>
    <w:rsid w:val="6BEF2917"/>
    <w:rsid w:val="6C12648A"/>
    <w:rsid w:val="6C127624"/>
    <w:rsid w:val="6C2E1457"/>
    <w:rsid w:val="6C5037A1"/>
    <w:rsid w:val="6C5204EA"/>
    <w:rsid w:val="6C554BBC"/>
    <w:rsid w:val="6C591AD2"/>
    <w:rsid w:val="6C5D0C49"/>
    <w:rsid w:val="6C8A4AC1"/>
    <w:rsid w:val="6C9A32F3"/>
    <w:rsid w:val="6CAF3FE6"/>
    <w:rsid w:val="6CBF5E3C"/>
    <w:rsid w:val="6CDE26AE"/>
    <w:rsid w:val="6D033DB0"/>
    <w:rsid w:val="6D3223A5"/>
    <w:rsid w:val="6D413DAD"/>
    <w:rsid w:val="6D4D1D0A"/>
    <w:rsid w:val="6D51114F"/>
    <w:rsid w:val="6D724B22"/>
    <w:rsid w:val="6D756982"/>
    <w:rsid w:val="6D8B2AD9"/>
    <w:rsid w:val="6D934F5F"/>
    <w:rsid w:val="6DA356B5"/>
    <w:rsid w:val="6DBA08FC"/>
    <w:rsid w:val="6DDF4993"/>
    <w:rsid w:val="6DE77329"/>
    <w:rsid w:val="6DEE3CF3"/>
    <w:rsid w:val="6E5477B9"/>
    <w:rsid w:val="6E5817BF"/>
    <w:rsid w:val="6E6547B7"/>
    <w:rsid w:val="6EA1178B"/>
    <w:rsid w:val="6EA30B27"/>
    <w:rsid w:val="6EBE12AE"/>
    <w:rsid w:val="6ED64F72"/>
    <w:rsid w:val="6ED7308A"/>
    <w:rsid w:val="6EE96A83"/>
    <w:rsid w:val="6EF80BEC"/>
    <w:rsid w:val="6EFC5D54"/>
    <w:rsid w:val="6F264935"/>
    <w:rsid w:val="6F2A26FD"/>
    <w:rsid w:val="6F301906"/>
    <w:rsid w:val="6F30594C"/>
    <w:rsid w:val="6F511B88"/>
    <w:rsid w:val="6F56060D"/>
    <w:rsid w:val="6F6369A6"/>
    <w:rsid w:val="6F7F77C7"/>
    <w:rsid w:val="6FA95563"/>
    <w:rsid w:val="6FAB7AF9"/>
    <w:rsid w:val="6FBB6426"/>
    <w:rsid w:val="6FBD75CB"/>
    <w:rsid w:val="6FCE2053"/>
    <w:rsid w:val="6FDD4B91"/>
    <w:rsid w:val="6FE70C3C"/>
    <w:rsid w:val="6FEF50B3"/>
    <w:rsid w:val="702D3C96"/>
    <w:rsid w:val="703474D8"/>
    <w:rsid w:val="70400B06"/>
    <w:rsid w:val="705D3070"/>
    <w:rsid w:val="70780C3E"/>
    <w:rsid w:val="708A2D67"/>
    <w:rsid w:val="70CA2EF4"/>
    <w:rsid w:val="70D330FD"/>
    <w:rsid w:val="70D63DDE"/>
    <w:rsid w:val="70E232BF"/>
    <w:rsid w:val="71115D69"/>
    <w:rsid w:val="71435812"/>
    <w:rsid w:val="71492BC4"/>
    <w:rsid w:val="714D5679"/>
    <w:rsid w:val="71603321"/>
    <w:rsid w:val="71807576"/>
    <w:rsid w:val="718D26B7"/>
    <w:rsid w:val="719A3A8C"/>
    <w:rsid w:val="719C1439"/>
    <w:rsid w:val="71A43D00"/>
    <w:rsid w:val="71AD3B11"/>
    <w:rsid w:val="71BE3C5D"/>
    <w:rsid w:val="71C4489B"/>
    <w:rsid w:val="71EE640B"/>
    <w:rsid w:val="720078B6"/>
    <w:rsid w:val="721E05EE"/>
    <w:rsid w:val="723F4D5F"/>
    <w:rsid w:val="72557777"/>
    <w:rsid w:val="72700BEB"/>
    <w:rsid w:val="728339A3"/>
    <w:rsid w:val="72992C61"/>
    <w:rsid w:val="72A20E4A"/>
    <w:rsid w:val="72A93178"/>
    <w:rsid w:val="72BB1F0C"/>
    <w:rsid w:val="72CA6DDA"/>
    <w:rsid w:val="72DA4B98"/>
    <w:rsid w:val="73207622"/>
    <w:rsid w:val="7330554B"/>
    <w:rsid w:val="73495B30"/>
    <w:rsid w:val="735E0701"/>
    <w:rsid w:val="73713130"/>
    <w:rsid w:val="73D54088"/>
    <w:rsid w:val="73D920AC"/>
    <w:rsid w:val="73E77DAE"/>
    <w:rsid w:val="740739A5"/>
    <w:rsid w:val="740E44C1"/>
    <w:rsid w:val="740F6251"/>
    <w:rsid w:val="741B081D"/>
    <w:rsid w:val="7435118F"/>
    <w:rsid w:val="744228E5"/>
    <w:rsid w:val="7473403F"/>
    <w:rsid w:val="74792578"/>
    <w:rsid w:val="74830815"/>
    <w:rsid w:val="7488369B"/>
    <w:rsid w:val="748C423F"/>
    <w:rsid w:val="749B498D"/>
    <w:rsid w:val="74A47DB8"/>
    <w:rsid w:val="74BE2B47"/>
    <w:rsid w:val="75053196"/>
    <w:rsid w:val="75071439"/>
    <w:rsid w:val="7508564D"/>
    <w:rsid w:val="750978ED"/>
    <w:rsid w:val="750B0D64"/>
    <w:rsid w:val="75443D32"/>
    <w:rsid w:val="754B6D61"/>
    <w:rsid w:val="7559694A"/>
    <w:rsid w:val="7570061A"/>
    <w:rsid w:val="758C51D3"/>
    <w:rsid w:val="75AF1474"/>
    <w:rsid w:val="75C36DED"/>
    <w:rsid w:val="75DB7A3E"/>
    <w:rsid w:val="75E61351"/>
    <w:rsid w:val="75F01FB4"/>
    <w:rsid w:val="760C72A9"/>
    <w:rsid w:val="76207923"/>
    <w:rsid w:val="763C5112"/>
    <w:rsid w:val="765848AF"/>
    <w:rsid w:val="765A6D97"/>
    <w:rsid w:val="766D31D4"/>
    <w:rsid w:val="76834F71"/>
    <w:rsid w:val="76886265"/>
    <w:rsid w:val="76A86C08"/>
    <w:rsid w:val="76C9484A"/>
    <w:rsid w:val="76D85D17"/>
    <w:rsid w:val="76DB7176"/>
    <w:rsid w:val="76F233A4"/>
    <w:rsid w:val="771378FE"/>
    <w:rsid w:val="772816EA"/>
    <w:rsid w:val="7731279D"/>
    <w:rsid w:val="77346790"/>
    <w:rsid w:val="776A14B7"/>
    <w:rsid w:val="777A5062"/>
    <w:rsid w:val="77B63C1F"/>
    <w:rsid w:val="77C55F5D"/>
    <w:rsid w:val="77CA6BD0"/>
    <w:rsid w:val="77DC6B9B"/>
    <w:rsid w:val="77FD2BF3"/>
    <w:rsid w:val="77FD733B"/>
    <w:rsid w:val="780F02C2"/>
    <w:rsid w:val="781F4813"/>
    <w:rsid w:val="781F6E81"/>
    <w:rsid w:val="78435EEB"/>
    <w:rsid w:val="78542BE7"/>
    <w:rsid w:val="78642389"/>
    <w:rsid w:val="78681E8C"/>
    <w:rsid w:val="786C590F"/>
    <w:rsid w:val="78EB7EB0"/>
    <w:rsid w:val="78F21276"/>
    <w:rsid w:val="79101BC7"/>
    <w:rsid w:val="795F46AF"/>
    <w:rsid w:val="797E6C56"/>
    <w:rsid w:val="79943D39"/>
    <w:rsid w:val="79AC4500"/>
    <w:rsid w:val="79BB02BA"/>
    <w:rsid w:val="79C8563A"/>
    <w:rsid w:val="79CA50CD"/>
    <w:rsid w:val="79D45E19"/>
    <w:rsid w:val="79DD6E22"/>
    <w:rsid w:val="79FC0498"/>
    <w:rsid w:val="79FD0F09"/>
    <w:rsid w:val="7A267CAB"/>
    <w:rsid w:val="7A2C283F"/>
    <w:rsid w:val="7A352633"/>
    <w:rsid w:val="7A3B15D7"/>
    <w:rsid w:val="7A4C2054"/>
    <w:rsid w:val="7A55111A"/>
    <w:rsid w:val="7A597FBB"/>
    <w:rsid w:val="7A705EEB"/>
    <w:rsid w:val="7AA64943"/>
    <w:rsid w:val="7AB666CA"/>
    <w:rsid w:val="7ACF29F8"/>
    <w:rsid w:val="7AD620D0"/>
    <w:rsid w:val="7AEC36BA"/>
    <w:rsid w:val="7B012F29"/>
    <w:rsid w:val="7B1A2756"/>
    <w:rsid w:val="7B272834"/>
    <w:rsid w:val="7B357F4F"/>
    <w:rsid w:val="7B4B0BA6"/>
    <w:rsid w:val="7B5573A2"/>
    <w:rsid w:val="7BA07DCB"/>
    <w:rsid w:val="7BB14DB1"/>
    <w:rsid w:val="7BB847B5"/>
    <w:rsid w:val="7BC764D0"/>
    <w:rsid w:val="7BC962EC"/>
    <w:rsid w:val="7BDF4EBD"/>
    <w:rsid w:val="7BE36707"/>
    <w:rsid w:val="7BE72C95"/>
    <w:rsid w:val="7BEA1E7E"/>
    <w:rsid w:val="7BFF10BB"/>
    <w:rsid w:val="7C115FE5"/>
    <w:rsid w:val="7C2912B7"/>
    <w:rsid w:val="7C3C0021"/>
    <w:rsid w:val="7C54108C"/>
    <w:rsid w:val="7C8B294F"/>
    <w:rsid w:val="7C8B4AD2"/>
    <w:rsid w:val="7C9F75CA"/>
    <w:rsid w:val="7CAA7CB5"/>
    <w:rsid w:val="7CC05E24"/>
    <w:rsid w:val="7CE829E1"/>
    <w:rsid w:val="7CFD1A9F"/>
    <w:rsid w:val="7D0625A4"/>
    <w:rsid w:val="7D0C4B70"/>
    <w:rsid w:val="7D1557DF"/>
    <w:rsid w:val="7D1913EC"/>
    <w:rsid w:val="7D21139B"/>
    <w:rsid w:val="7D225061"/>
    <w:rsid w:val="7D230E66"/>
    <w:rsid w:val="7D276422"/>
    <w:rsid w:val="7D5065B1"/>
    <w:rsid w:val="7D843688"/>
    <w:rsid w:val="7D8A0E59"/>
    <w:rsid w:val="7D9103C4"/>
    <w:rsid w:val="7DE83033"/>
    <w:rsid w:val="7DED6C6C"/>
    <w:rsid w:val="7DF25871"/>
    <w:rsid w:val="7DF34D93"/>
    <w:rsid w:val="7E1218F6"/>
    <w:rsid w:val="7E23268F"/>
    <w:rsid w:val="7E2B6A86"/>
    <w:rsid w:val="7E37621C"/>
    <w:rsid w:val="7E3C695B"/>
    <w:rsid w:val="7E56552D"/>
    <w:rsid w:val="7E6452A6"/>
    <w:rsid w:val="7E857F9E"/>
    <w:rsid w:val="7E8679F2"/>
    <w:rsid w:val="7E9232C2"/>
    <w:rsid w:val="7ED14FB9"/>
    <w:rsid w:val="7F17655A"/>
    <w:rsid w:val="7F2370CA"/>
    <w:rsid w:val="7F334EE4"/>
    <w:rsid w:val="7F4C5F8D"/>
    <w:rsid w:val="7F5406C7"/>
    <w:rsid w:val="7F6F79E4"/>
    <w:rsid w:val="7F7B1E30"/>
    <w:rsid w:val="7F841DC0"/>
    <w:rsid w:val="7F9D49A1"/>
    <w:rsid w:val="7FA9293C"/>
    <w:rsid w:val="7FB7037D"/>
    <w:rsid w:val="7FB83A5B"/>
    <w:rsid w:val="7FC70DCE"/>
    <w:rsid w:val="7FDF73E3"/>
    <w:rsid w:val="7FE02C5B"/>
    <w:rsid w:val="7FE1572A"/>
    <w:rsid w:val="7FE37FFC"/>
    <w:rsid w:val="7FEC2A6C"/>
    <w:rsid w:val="7FFB026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0"/>
    <w:qFormat/>
    <w:uiPriority w:val="0"/>
    <w:pPr>
      <w:keepNext/>
      <w:keepLines/>
      <w:spacing w:line="360" w:lineRule="exact"/>
      <w:ind w:firstLine="600" w:firstLineChars="200"/>
      <w:outlineLvl w:val="2"/>
    </w:pPr>
    <w:rPr>
      <w:rFonts w:ascii="Calibri" w:hAnsi="Calibri"/>
      <w:b/>
      <w:bCs/>
      <w:kern w:val="0"/>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1"/>
    <w:qFormat/>
    <w:uiPriority w:val="1"/>
    <w:pPr>
      <w:autoSpaceDE w:val="0"/>
      <w:autoSpaceDN w:val="0"/>
      <w:spacing w:before="29"/>
      <w:ind w:left="641"/>
      <w:jc w:val="left"/>
    </w:pPr>
    <w:rPr>
      <w:rFonts w:ascii="宋体" w:hAnsi="宋体" w:cs="宋体"/>
      <w:kern w:val="0"/>
      <w:sz w:val="24"/>
      <w:lang w:eastAsia="en-US"/>
    </w:rPr>
  </w:style>
  <w:style w:type="paragraph" w:styleId="6">
    <w:name w:val="Plain Text"/>
    <w:basedOn w:val="1"/>
    <w:link w:val="22"/>
    <w:unhideWhenUsed/>
    <w:qFormat/>
    <w:uiPriority w:val="99"/>
    <w:rPr>
      <w:rFonts w:ascii="宋体" w:hAnsi="Courier New"/>
      <w:szCs w:val="22"/>
    </w:rPr>
  </w:style>
  <w:style w:type="paragraph" w:styleId="7">
    <w:name w:val="Date"/>
    <w:basedOn w:val="1"/>
    <w:next w:val="1"/>
    <w:qFormat/>
    <w:uiPriority w:val="0"/>
    <w:rPr>
      <w:sz w:val="24"/>
      <w:szCs w:val="20"/>
    </w:rPr>
  </w:style>
  <w:style w:type="paragraph" w:styleId="8">
    <w:name w:val="Balloon Text"/>
    <w:basedOn w:val="1"/>
    <w:qFormat/>
    <w:uiPriority w:val="0"/>
    <w:rPr>
      <w:sz w:val="18"/>
      <w:szCs w:val="18"/>
    </w:rPr>
  </w:style>
  <w:style w:type="paragraph" w:styleId="9">
    <w:name w:val="footer"/>
    <w:basedOn w:val="1"/>
    <w:link w:val="23"/>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rPr>
      <w:rFonts w:ascii="Times New Roman" w:hAnsi="Times New Roman" w:eastAsia="宋体" w:cs="Times New Roman"/>
    </w:rPr>
  </w:style>
  <w:style w:type="character" w:styleId="18">
    <w:name w:val="FollowedHyperlink"/>
    <w:basedOn w:val="15"/>
    <w:unhideWhenUsed/>
    <w:qFormat/>
    <w:uiPriority w:val="99"/>
    <w:rPr>
      <w:color w:val="333333"/>
      <w:u w:val="none"/>
    </w:rPr>
  </w:style>
  <w:style w:type="character" w:styleId="19">
    <w:name w:val="Hyperlink"/>
    <w:basedOn w:val="15"/>
    <w:unhideWhenUsed/>
    <w:qFormat/>
    <w:uiPriority w:val="99"/>
    <w:rPr>
      <w:color w:val="333333"/>
      <w:u w:val="none"/>
    </w:rPr>
  </w:style>
  <w:style w:type="character" w:customStyle="1" w:styleId="20">
    <w:name w:val="标题 3 Char"/>
    <w:basedOn w:val="15"/>
    <w:link w:val="3"/>
    <w:qFormat/>
    <w:uiPriority w:val="0"/>
    <w:rPr>
      <w:rFonts w:ascii="Calibri" w:hAnsi="Calibri"/>
      <w:b/>
      <w:bCs/>
      <w:sz w:val="32"/>
      <w:szCs w:val="32"/>
    </w:rPr>
  </w:style>
  <w:style w:type="character" w:customStyle="1" w:styleId="21">
    <w:name w:val="正文文本 Char"/>
    <w:basedOn w:val="15"/>
    <w:link w:val="5"/>
    <w:qFormat/>
    <w:uiPriority w:val="1"/>
    <w:rPr>
      <w:rFonts w:ascii="宋体" w:hAnsi="宋体" w:cs="宋体"/>
      <w:sz w:val="24"/>
      <w:szCs w:val="24"/>
      <w:lang w:eastAsia="en-US"/>
    </w:rPr>
  </w:style>
  <w:style w:type="character" w:customStyle="1" w:styleId="22">
    <w:name w:val="纯文本 Char"/>
    <w:basedOn w:val="15"/>
    <w:link w:val="6"/>
    <w:qFormat/>
    <w:uiPriority w:val="99"/>
    <w:rPr>
      <w:rFonts w:ascii="宋体" w:hAnsi="Courier New"/>
      <w:kern w:val="2"/>
      <w:sz w:val="21"/>
      <w:szCs w:val="22"/>
    </w:rPr>
  </w:style>
  <w:style w:type="character" w:customStyle="1" w:styleId="23">
    <w:name w:val="页脚 Char"/>
    <w:basedOn w:val="15"/>
    <w:link w:val="9"/>
    <w:qFormat/>
    <w:uiPriority w:val="99"/>
    <w:rPr>
      <w:kern w:val="2"/>
      <w:sz w:val="18"/>
      <w:szCs w:val="18"/>
    </w:rPr>
  </w:style>
  <w:style w:type="character" w:customStyle="1" w:styleId="24">
    <w:name w:val="页眉 Char"/>
    <w:basedOn w:val="15"/>
    <w:link w:val="10"/>
    <w:qFormat/>
    <w:uiPriority w:val="99"/>
    <w:rPr>
      <w:kern w:val="2"/>
      <w:sz w:val="18"/>
      <w:szCs w:val="18"/>
    </w:rPr>
  </w:style>
  <w:style w:type="paragraph" w:customStyle="1" w:styleId="25">
    <w:name w:val="样式1"/>
    <w:basedOn w:val="1"/>
    <w:qFormat/>
    <w:uiPriority w:val="0"/>
    <w:pPr>
      <w:tabs>
        <w:tab w:val="left" w:pos="840"/>
      </w:tabs>
    </w:pPr>
  </w:style>
  <w:style w:type="paragraph" w:customStyle="1" w:styleId="2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7">
    <w:name w:val="样式 删除线"/>
    <w:basedOn w:val="15"/>
    <w:qFormat/>
    <w:uiPriority w:val="0"/>
    <w:rPr>
      <w:rFonts w:ascii="Times New Roman" w:hAnsi="Times New Roman" w:eastAsia="宋体" w:cs="Times New Roman"/>
    </w:rPr>
  </w:style>
  <w:style w:type="paragraph" w:customStyle="1" w:styleId="2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9">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0">
    <w:name w:val="SF正文 Char"/>
    <w:basedOn w:val="1"/>
    <w:qFormat/>
    <w:uiPriority w:val="0"/>
    <w:pPr>
      <w:ind w:firstLine="200" w:firstLineChars="200"/>
    </w:pPr>
    <w:rPr>
      <w:rFonts w:ascii="Century Gothic" w:hAnsi="Century Gothic"/>
      <w:sz w:val="24"/>
    </w:rPr>
  </w:style>
  <w:style w:type="paragraph" w:customStyle="1" w:styleId="31">
    <w:name w:val="列出段落1"/>
    <w:basedOn w:val="1"/>
    <w:qFormat/>
    <w:uiPriority w:val="99"/>
    <w:pPr>
      <w:ind w:firstLine="420" w:firstLineChars="200"/>
    </w:pPr>
  </w:style>
  <w:style w:type="character" w:customStyle="1" w:styleId="32">
    <w:name w:val="highlight1"/>
    <w:basedOn w:val="15"/>
    <w:qFormat/>
    <w:uiPriority w:val="0"/>
    <w:rPr>
      <w:sz w:val="18"/>
      <w:szCs w:val="18"/>
    </w:rPr>
  </w:style>
  <w:style w:type="paragraph" w:customStyle="1" w:styleId="33">
    <w:name w:val="gs2"/>
    <w:basedOn w:val="1"/>
    <w:qFormat/>
    <w:uiPriority w:val="0"/>
    <w:pPr>
      <w:widowControl/>
      <w:spacing w:before="100" w:beforeAutospacing="1" w:after="100" w:afterAutospacing="1" w:line="454" w:lineRule="atLeast"/>
      <w:jc w:val="left"/>
    </w:pPr>
    <w:rPr>
      <w:rFonts w:ascii="宋体" w:hAnsi="宋体" w:cs="宋体"/>
      <w:kern w:val="0"/>
      <w:szCs w:val="21"/>
    </w:rPr>
  </w:style>
  <w:style w:type="character" w:customStyle="1" w:styleId="34">
    <w:name w:val="current"/>
    <w:basedOn w:val="15"/>
    <w:qFormat/>
    <w:uiPriority w:val="0"/>
    <w:rPr>
      <w:color w:val="FFFFFF"/>
      <w:shd w:val="clear" w:color="auto" w:fill="33FFFF"/>
    </w:rPr>
  </w:style>
  <w:style w:type="paragraph" w:customStyle="1" w:styleId="35">
    <w:name w:val="建设方案正文"/>
    <w:basedOn w:val="1"/>
    <w:qFormat/>
    <w:uiPriority w:val="0"/>
    <w:pPr>
      <w:spacing w:line="360" w:lineRule="auto"/>
      <w:ind w:firstLine="200" w:firstLineChars="200"/>
    </w:pPr>
    <w:rPr>
      <w:rFonts w:ascii="仿宋_GB2312" w:eastAsia="仿宋_GB2312"/>
      <w:color w:val="000000"/>
      <w:sz w:val="24"/>
    </w:rPr>
  </w:style>
  <w:style w:type="character" w:customStyle="1" w:styleId="36">
    <w:name w:val="标题 1 Char"/>
    <w:basedOn w:val="15"/>
    <w:link w:val="2"/>
    <w:qFormat/>
    <w:uiPriority w:val="9"/>
    <w:rPr>
      <w:b/>
      <w:bCs/>
      <w:kern w:val="44"/>
      <w:sz w:val="44"/>
      <w:szCs w:val="44"/>
    </w:rPr>
  </w:style>
  <w:style w:type="paragraph" w:customStyle="1" w:styleId="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i/>
      <w:iCs/>
      <w:kern w:val="0"/>
      <w:sz w:val="18"/>
      <w:szCs w:val="18"/>
    </w:rPr>
  </w:style>
  <w:style w:type="paragraph" w:customStyle="1" w:styleId="4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1">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2">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3">
    <w:name w:val="xl68"/>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44">
    <w:name w:val="xl69"/>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6">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74"/>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50">
    <w:name w:val="xl75"/>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7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3">
    <w:name w:val="xl7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4">
    <w:name w:val="xl79"/>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5">
    <w:name w:val="xl80"/>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6">
    <w:name w:val="xl81"/>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7">
    <w:name w:val="xl8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8">
    <w:name w:val="xl8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i/>
      <w:iCs/>
      <w:kern w:val="0"/>
      <w:sz w:val="18"/>
      <w:szCs w:val="18"/>
    </w:rPr>
  </w:style>
  <w:style w:type="paragraph" w:customStyle="1" w:styleId="6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6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62">
    <w:name w:val="xl8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3">
    <w:name w:val="xl88"/>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4">
    <w:name w:val="列出段落2"/>
    <w:basedOn w:val="1"/>
    <w:unhideWhenUsed/>
    <w:qFormat/>
    <w:uiPriority w:val="99"/>
    <w:pPr>
      <w:ind w:firstLine="420" w:firstLineChars="200"/>
    </w:pPr>
  </w:style>
  <w:style w:type="character" w:customStyle="1" w:styleId="65">
    <w:name w:val="font4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80D73-6DD8-428B-88D0-6FA30761DC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30883</Words>
  <Characters>32213</Characters>
  <Lines>189</Lines>
  <Paragraphs>53</Paragraphs>
  <TotalTime>8</TotalTime>
  <ScaleCrop>false</ScaleCrop>
  <LinksUpToDate>false</LinksUpToDate>
  <CharactersWithSpaces>32833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2020-03-07T14:25:00Z</dcterms:created>
  <dc:creator>tina</dc:creator>
  <cp:lastModifiedBy>肖飞</cp:lastModifiedBy>
  <cp:lastPrinted>2020-03-16T02:28:00Z</cp:lastPrinted>
  <dcterms:modified xsi:type="dcterms:W3CDTF">2024-09-19T03:04:37Z</dcterms:modified>
  <cp:revision>1164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696301BC6F2645E5853199BE098DDFA0</vt:lpwstr>
  </property>
</Properties>
</file>